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9636" w14:textId="77777777" w:rsidR="000A5B37" w:rsidRDefault="00000000">
      <w:pPr>
        <w:spacing w:after="0" w:line="259" w:lineRule="auto"/>
        <w:ind w:left="0" w:right="0" w:firstLine="0"/>
        <w:jc w:val="left"/>
      </w:pPr>
      <w:r>
        <w:rPr>
          <w:rFonts w:cs="Calibri"/>
          <w:b/>
          <w:sz w:val="28"/>
        </w:rPr>
        <w:t xml:space="preserve">NVC aanbeveling voor flowcytometrische analyses van B- en T-cel subsets </w:t>
      </w:r>
    </w:p>
    <w:p w14:paraId="059B7FCB" w14:textId="77777777" w:rsidR="000A5B37" w:rsidRDefault="00000000">
      <w:pPr>
        <w:spacing w:after="0" w:line="259" w:lineRule="auto"/>
        <w:ind w:left="0" w:right="0" w:firstLine="0"/>
        <w:jc w:val="left"/>
      </w:pPr>
      <w:r>
        <w:t xml:space="preserve"> </w:t>
      </w:r>
    </w:p>
    <w:p w14:paraId="398250FC" w14:textId="77777777" w:rsidR="000A5B37" w:rsidRDefault="00000000">
      <w:pPr>
        <w:spacing w:after="0" w:line="259" w:lineRule="auto"/>
        <w:ind w:left="-5" w:right="0"/>
        <w:jc w:val="left"/>
      </w:pPr>
      <w:r>
        <w:rPr>
          <w:rFonts w:cs="Calibri"/>
          <w:b/>
        </w:rPr>
        <w:t xml:space="preserve">Werkgroep Immuunmonitoring TBNK subsets: </w:t>
      </w:r>
    </w:p>
    <w:p w14:paraId="57699CE7" w14:textId="77777777" w:rsidR="000A5B37" w:rsidRDefault="00000000">
      <w:pPr>
        <w:ind w:left="-5" w:right="0"/>
      </w:pPr>
      <w:r>
        <w:t xml:space="preserve">Joyce van Beers (MUMC), Hetty Bontkes (AUMC), Jan Damoiseaux (MUMC), Willemijn Hobo (Radboudumc), Tim Hutten (UMCU), Carin Koelman (Meander MC), Hans Koenen (Radboudumc), Annechien Lambeck (UMCG), Jacqueline Leuvenink (JBZ), Ellen van Lochem (Rijnstate), Monique van Ostaijen-ten Dam (LUMC), Sharon Veenbergen (Erasmus MC) </w:t>
      </w:r>
    </w:p>
    <w:p w14:paraId="09B51D18" w14:textId="77777777" w:rsidR="000A5B37" w:rsidRDefault="00000000">
      <w:pPr>
        <w:spacing w:after="0" w:line="259" w:lineRule="auto"/>
        <w:ind w:left="0" w:right="0" w:firstLine="0"/>
        <w:jc w:val="left"/>
      </w:pPr>
      <w:r>
        <w:t xml:space="preserve"> </w:t>
      </w:r>
    </w:p>
    <w:p w14:paraId="0429C6AA" w14:textId="77777777" w:rsidR="000A5B37" w:rsidRDefault="00000000">
      <w:pPr>
        <w:ind w:left="-5" w:right="0"/>
      </w:pPr>
      <w:r>
        <w:t xml:space="preserve">In Nederland is een interlaboratorium vergelijking operationeel voor de flowcytometrische bepaling van B- en T-cel subsets. Deelnemende laboratoria gebruiken verschillende panels voor de B- en T-cel subset analyses. Met de NVC werkgroep en deelnemers van de T- en B-cel subset interlaboratorium vergelijking is een aanbeveling opgesteld voor een geharmoniseerd basis flowcytometrie panel en bijbehorende gating strategie. Daarnaast wordt advies gegeven omtrent de te gebruiken klonen en fluorochromen en is er informatie opgenomen over de interpretatie en normaalwaarden. Deze aanbeveling is opgesteld aan de hand van relevante literatuur en expert opinion. </w:t>
      </w:r>
    </w:p>
    <w:p w14:paraId="51B709ED" w14:textId="77777777" w:rsidR="000A5B37" w:rsidRDefault="00000000">
      <w:pPr>
        <w:spacing w:after="0" w:line="259" w:lineRule="auto"/>
        <w:ind w:left="0" w:right="0" w:firstLine="0"/>
        <w:jc w:val="left"/>
      </w:pPr>
      <w:r>
        <w:rPr>
          <w:rFonts w:cs="Calibri"/>
          <w:b/>
        </w:rPr>
        <w:t xml:space="preserve"> </w:t>
      </w:r>
    </w:p>
    <w:p w14:paraId="76049C57" w14:textId="77777777" w:rsidR="000A5B37" w:rsidRDefault="00000000">
      <w:pPr>
        <w:ind w:left="-5" w:right="0"/>
      </w:pPr>
      <w:r>
        <w:t xml:space="preserve">1.1. Immuundeficiëntie </w:t>
      </w:r>
    </w:p>
    <w:p w14:paraId="29EEAE3E" w14:textId="77777777" w:rsidR="000A5B37" w:rsidRDefault="00000000">
      <w:pPr>
        <w:ind w:left="-5" w:right="0"/>
      </w:pPr>
      <w:r>
        <w:t>Primaire immuundeficiëntie (PID) is een aangeboren defect in het immuunsysteem en kan resulteren in een verhoogde vatbaarheid voor chronische of ernstige infecties (oor- of longontstekingen, huidinfecties, sinusitis, darminfecties, meningitis, etc.). Naast genetische afwijkingen, kunnen verschillende factoren leiden tot een secundaire immuundeficiëntie, waardoor infectierisico in deze situaties ook verhoogd is. Voorbeelden hiervan zijn infecties (HIV), kanker, auto-immuunziekten of immuunsuppressieve middelen voor therapeutische doeleinden (corticosteroïden, cytostatica, Disease Modifying Anti-Rheumatic Drugs (DMARD), biologicals, etc). Voor de diagnostische laboratoriumevaluatie van een patiënt met (verdenking op) een primaire en/of secundaire immuundeficiëntie kan middels flowcytometrie een lymfocyten fenotypering ingezet worden</w:t>
      </w:r>
      <w:r>
        <w:rPr>
          <w:vertAlign w:val="superscript"/>
        </w:rPr>
        <w:t>1-3</w:t>
      </w:r>
      <w:r>
        <w:t xml:space="preserve">. In verschillende diagnostische criteria in het kader van primaire immuundeficiënties zijn (specifieke) lymfocyten subsets opgenomen (Tabel 1). De vraagstellingen richten zich over het algemeen op de aan- of afwezigheid van (specifieke) lymfocyten (sub)populaties.  </w:t>
      </w:r>
    </w:p>
    <w:p w14:paraId="449F4515" w14:textId="77777777" w:rsidR="000A5B37" w:rsidRDefault="00000000">
      <w:pPr>
        <w:spacing w:after="0" w:line="259" w:lineRule="auto"/>
        <w:ind w:left="0" w:right="0" w:firstLine="0"/>
        <w:jc w:val="left"/>
      </w:pPr>
      <w:r>
        <w:rPr>
          <w:sz w:val="24"/>
        </w:rPr>
        <w:t xml:space="preserve"> </w:t>
      </w:r>
    </w:p>
    <w:p w14:paraId="2D2A1830" w14:textId="77777777" w:rsidR="000A5B37" w:rsidRDefault="00000000">
      <w:pPr>
        <w:spacing w:after="0" w:line="259" w:lineRule="auto"/>
        <w:ind w:left="0" w:right="0" w:firstLine="0"/>
        <w:jc w:val="left"/>
      </w:pPr>
      <w:r>
        <w:rPr>
          <w:u w:val="single" w:color="7F7F7F"/>
        </w:rPr>
        <w:t>Tabel 1. Lymfocyten subsets opgenome</w:t>
      </w:r>
      <w:r>
        <w:t>n in PID criteria.</w:t>
      </w:r>
      <w:r>
        <w:rPr>
          <w:vertAlign w:val="superscript"/>
        </w:rPr>
        <w:t>1,2</w:t>
      </w:r>
      <w:r>
        <w:rPr>
          <w:rFonts w:cs="Calibri"/>
          <w:b/>
        </w:rPr>
        <w:t xml:space="preserve"> </w:t>
      </w:r>
    </w:p>
    <w:tbl>
      <w:tblPr>
        <w:tblStyle w:val="TableGrid"/>
        <w:tblW w:w="9157" w:type="dxa"/>
        <w:tblInd w:w="-14" w:type="dxa"/>
        <w:tblCellMar>
          <w:top w:w="46" w:type="dxa"/>
          <w:left w:w="0" w:type="dxa"/>
          <w:bottom w:w="0" w:type="dxa"/>
          <w:right w:w="115" w:type="dxa"/>
        </w:tblCellMar>
        <w:tblLook w:val="04A0" w:firstRow="1" w:lastRow="0" w:firstColumn="1" w:lastColumn="0" w:noHBand="0" w:noVBand="1"/>
      </w:tblPr>
      <w:tblGrid>
        <w:gridCol w:w="3667"/>
        <w:gridCol w:w="2799"/>
        <w:gridCol w:w="2691"/>
      </w:tblGrid>
      <w:tr w:rsidR="000A5B37" w14:paraId="2202AFAD" w14:textId="77777777">
        <w:trPr>
          <w:trHeight w:val="346"/>
        </w:trPr>
        <w:tc>
          <w:tcPr>
            <w:tcW w:w="3668" w:type="dxa"/>
            <w:tcBorders>
              <w:top w:val="nil"/>
              <w:left w:val="nil"/>
              <w:bottom w:val="single" w:sz="4" w:space="0" w:color="7F7F7F"/>
              <w:right w:val="nil"/>
            </w:tcBorders>
          </w:tcPr>
          <w:p w14:paraId="42EEAFF2" w14:textId="77777777" w:rsidR="000A5B37" w:rsidRDefault="00000000">
            <w:pPr>
              <w:spacing w:after="0" w:line="259" w:lineRule="auto"/>
              <w:ind w:left="122" w:right="0" w:firstLine="0"/>
              <w:jc w:val="left"/>
            </w:pPr>
            <w:r>
              <w:rPr>
                <w:b/>
                <w:sz w:val="20"/>
              </w:rPr>
              <w:t>Populatie</w:t>
            </w:r>
            <w:r>
              <w:rPr>
                <w:sz w:val="20"/>
              </w:rPr>
              <w:t xml:space="preserve"> </w:t>
            </w:r>
          </w:p>
        </w:tc>
        <w:tc>
          <w:tcPr>
            <w:tcW w:w="2799" w:type="dxa"/>
            <w:tcBorders>
              <w:top w:val="single" w:sz="4" w:space="0" w:color="7F7F7F"/>
              <w:left w:val="nil"/>
              <w:bottom w:val="single" w:sz="4" w:space="0" w:color="7F7F7F"/>
              <w:right w:val="nil"/>
            </w:tcBorders>
          </w:tcPr>
          <w:p w14:paraId="59E0ADD4" w14:textId="77777777" w:rsidR="000A5B37" w:rsidRDefault="00000000">
            <w:pPr>
              <w:spacing w:after="0" w:line="259" w:lineRule="auto"/>
              <w:ind w:left="0" w:right="0" w:firstLine="0"/>
              <w:jc w:val="left"/>
            </w:pPr>
            <w:r>
              <w:rPr>
                <w:b/>
                <w:sz w:val="20"/>
              </w:rPr>
              <w:t>Markers in PID criteria</w:t>
            </w:r>
            <w:r>
              <w:rPr>
                <w:sz w:val="20"/>
              </w:rPr>
              <w:t xml:space="preserve"> </w:t>
            </w:r>
          </w:p>
        </w:tc>
        <w:tc>
          <w:tcPr>
            <w:tcW w:w="2691" w:type="dxa"/>
            <w:tcBorders>
              <w:top w:val="single" w:sz="4" w:space="0" w:color="7F7F7F"/>
              <w:left w:val="nil"/>
              <w:bottom w:val="single" w:sz="4" w:space="0" w:color="7F7F7F"/>
              <w:right w:val="nil"/>
            </w:tcBorders>
          </w:tcPr>
          <w:p w14:paraId="1B7992D5" w14:textId="77777777" w:rsidR="000A5B37" w:rsidRDefault="00000000">
            <w:pPr>
              <w:spacing w:after="0" w:line="259" w:lineRule="auto"/>
              <w:ind w:left="0" w:right="0" w:firstLine="0"/>
              <w:jc w:val="left"/>
            </w:pPr>
            <w:r>
              <w:rPr>
                <w:b/>
                <w:sz w:val="20"/>
              </w:rPr>
              <w:t>Toepassing</w:t>
            </w:r>
            <w:r>
              <w:rPr>
                <w:sz w:val="20"/>
              </w:rPr>
              <w:t xml:space="preserve"> </w:t>
            </w:r>
          </w:p>
        </w:tc>
      </w:tr>
      <w:tr w:rsidR="000A5B37" w14:paraId="627CD524" w14:textId="77777777">
        <w:trPr>
          <w:trHeight w:val="742"/>
        </w:trPr>
        <w:tc>
          <w:tcPr>
            <w:tcW w:w="3668" w:type="dxa"/>
            <w:tcBorders>
              <w:top w:val="single" w:sz="4" w:space="0" w:color="7F7F7F"/>
              <w:left w:val="nil"/>
              <w:bottom w:val="single" w:sz="4" w:space="0" w:color="7F7F7F"/>
              <w:right w:val="nil"/>
            </w:tcBorders>
          </w:tcPr>
          <w:p w14:paraId="5C1A3F76" w14:textId="77777777" w:rsidR="000A5B37" w:rsidRDefault="00000000">
            <w:pPr>
              <w:spacing w:after="0" w:line="259" w:lineRule="auto"/>
              <w:ind w:left="122" w:right="67" w:firstLine="0"/>
              <w:jc w:val="left"/>
            </w:pPr>
            <w:r>
              <w:rPr>
                <w:sz w:val="20"/>
              </w:rPr>
              <w:t>Ig-switched memory B-cellen, CD4</w:t>
            </w:r>
            <w:r>
              <w:rPr>
                <w:sz w:val="20"/>
                <w:vertAlign w:val="superscript"/>
              </w:rPr>
              <w:t>+</w:t>
            </w:r>
            <w:r>
              <w:rPr>
                <w:sz w:val="20"/>
              </w:rPr>
              <w:t xml:space="preserve"> Tcellen (aantal/µL), % naïeve CD4</w:t>
            </w:r>
            <w:r>
              <w:rPr>
                <w:sz w:val="20"/>
                <w:vertAlign w:val="superscript"/>
              </w:rPr>
              <w:t>+</w:t>
            </w:r>
            <w:r>
              <w:rPr>
                <w:sz w:val="20"/>
              </w:rPr>
              <w:t xml:space="preserve"> Tcellen </w:t>
            </w:r>
          </w:p>
        </w:tc>
        <w:tc>
          <w:tcPr>
            <w:tcW w:w="2799" w:type="dxa"/>
            <w:tcBorders>
              <w:top w:val="single" w:sz="4" w:space="0" w:color="7F7F7F"/>
              <w:left w:val="nil"/>
              <w:bottom w:val="single" w:sz="4" w:space="0" w:color="7F7F7F"/>
              <w:right w:val="nil"/>
            </w:tcBorders>
          </w:tcPr>
          <w:p w14:paraId="760173DF" w14:textId="77777777" w:rsidR="000A5B37" w:rsidRDefault="00000000">
            <w:pPr>
              <w:spacing w:after="0" w:line="259" w:lineRule="auto"/>
              <w:ind w:left="0" w:right="0" w:firstLine="0"/>
              <w:jc w:val="left"/>
            </w:pPr>
            <w:r>
              <w:rPr>
                <w:sz w:val="20"/>
              </w:rPr>
              <w:t xml:space="preserve">Niet gespecificeerd </w:t>
            </w:r>
          </w:p>
        </w:tc>
        <w:tc>
          <w:tcPr>
            <w:tcW w:w="2691" w:type="dxa"/>
            <w:tcBorders>
              <w:top w:val="single" w:sz="4" w:space="0" w:color="7F7F7F"/>
              <w:left w:val="nil"/>
              <w:bottom w:val="single" w:sz="4" w:space="0" w:color="7F7F7F"/>
              <w:right w:val="nil"/>
            </w:tcBorders>
          </w:tcPr>
          <w:p w14:paraId="30C72255" w14:textId="77777777" w:rsidR="000A5B37" w:rsidRDefault="00000000">
            <w:pPr>
              <w:spacing w:after="0" w:line="259" w:lineRule="auto"/>
              <w:ind w:left="0" w:right="0" w:firstLine="0"/>
              <w:jc w:val="left"/>
            </w:pPr>
            <w:r>
              <w:rPr>
                <w:sz w:val="20"/>
              </w:rPr>
              <w:t xml:space="preserve">CVID </w:t>
            </w:r>
          </w:p>
        </w:tc>
      </w:tr>
      <w:tr w:rsidR="000A5B37" w14:paraId="78F9451F" w14:textId="77777777">
        <w:trPr>
          <w:trHeight w:val="742"/>
        </w:trPr>
        <w:tc>
          <w:tcPr>
            <w:tcW w:w="3668" w:type="dxa"/>
            <w:tcBorders>
              <w:top w:val="single" w:sz="4" w:space="0" w:color="7F7F7F"/>
              <w:left w:val="nil"/>
              <w:bottom w:val="single" w:sz="4" w:space="0" w:color="7F7F7F"/>
              <w:right w:val="nil"/>
            </w:tcBorders>
          </w:tcPr>
          <w:p w14:paraId="6A09C41B" w14:textId="77777777" w:rsidR="000A5B37" w:rsidRDefault="00000000">
            <w:pPr>
              <w:spacing w:after="0" w:line="259" w:lineRule="auto"/>
              <w:ind w:left="122" w:right="0" w:firstLine="0"/>
              <w:jc w:val="left"/>
            </w:pPr>
            <w:r>
              <w:rPr>
                <w:sz w:val="20"/>
              </w:rPr>
              <w:t>CD19</w:t>
            </w:r>
            <w:r>
              <w:rPr>
                <w:sz w:val="20"/>
                <w:vertAlign w:val="superscript"/>
              </w:rPr>
              <w:t>+</w:t>
            </w:r>
            <w:r>
              <w:rPr>
                <w:sz w:val="20"/>
              </w:rPr>
              <w:t>(CD20</w:t>
            </w:r>
            <w:r>
              <w:rPr>
                <w:sz w:val="20"/>
                <w:vertAlign w:val="superscript"/>
              </w:rPr>
              <w:t>+</w:t>
            </w:r>
            <w:r>
              <w:rPr>
                <w:sz w:val="20"/>
              </w:rPr>
              <w:t>) B-cellen, CD3</w:t>
            </w:r>
            <w:r>
              <w:rPr>
                <w:sz w:val="20"/>
                <w:vertAlign w:val="superscript"/>
              </w:rPr>
              <w:t xml:space="preserve">+ </w:t>
            </w:r>
            <w:r>
              <w:rPr>
                <w:sz w:val="20"/>
              </w:rPr>
              <w:t>T-cellen, CD4</w:t>
            </w:r>
            <w:r>
              <w:rPr>
                <w:sz w:val="20"/>
                <w:vertAlign w:val="superscript"/>
              </w:rPr>
              <w:t>+</w:t>
            </w:r>
            <w:r>
              <w:rPr>
                <w:sz w:val="20"/>
              </w:rPr>
              <w:t xml:space="preserve"> en CD8</w:t>
            </w:r>
            <w:r>
              <w:rPr>
                <w:sz w:val="20"/>
                <w:vertAlign w:val="superscript"/>
              </w:rPr>
              <w:t>+</w:t>
            </w:r>
            <w:r>
              <w:rPr>
                <w:sz w:val="20"/>
              </w:rPr>
              <w:t xml:space="preserve"> T-cellen </w:t>
            </w:r>
          </w:p>
        </w:tc>
        <w:tc>
          <w:tcPr>
            <w:tcW w:w="2799" w:type="dxa"/>
            <w:tcBorders>
              <w:top w:val="single" w:sz="4" w:space="0" w:color="7F7F7F"/>
              <w:left w:val="nil"/>
              <w:bottom w:val="single" w:sz="4" w:space="0" w:color="7F7F7F"/>
              <w:right w:val="nil"/>
            </w:tcBorders>
          </w:tcPr>
          <w:p w14:paraId="13B52D95" w14:textId="77777777" w:rsidR="000A5B37" w:rsidRDefault="00000000">
            <w:pPr>
              <w:spacing w:after="0" w:line="259" w:lineRule="auto"/>
              <w:ind w:left="0" w:right="0" w:firstLine="0"/>
              <w:jc w:val="left"/>
            </w:pPr>
            <w:r>
              <w:rPr>
                <w:sz w:val="20"/>
              </w:rPr>
              <w:t xml:space="preserve">CD19, CD20, CD3, CD4, CD8 </w:t>
            </w:r>
          </w:p>
        </w:tc>
        <w:tc>
          <w:tcPr>
            <w:tcW w:w="2691" w:type="dxa"/>
            <w:tcBorders>
              <w:top w:val="single" w:sz="4" w:space="0" w:color="7F7F7F"/>
              <w:left w:val="nil"/>
              <w:bottom w:val="single" w:sz="4" w:space="0" w:color="7F7F7F"/>
              <w:right w:val="nil"/>
            </w:tcBorders>
          </w:tcPr>
          <w:p w14:paraId="28A26494" w14:textId="77777777" w:rsidR="000A5B37" w:rsidRDefault="00000000">
            <w:pPr>
              <w:spacing w:after="0" w:line="259" w:lineRule="auto"/>
              <w:ind w:left="0" w:right="0" w:firstLine="0"/>
              <w:jc w:val="left"/>
            </w:pPr>
            <w:r>
              <w:rPr>
                <w:sz w:val="20"/>
              </w:rPr>
              <w:t xml:space="preserve">Agammaglobulinemia </w:t>
            </w:r>
          </w:p>
        </w:tc>
      </w:tr>
      <w:tr w:rsidR="000A5B37" w14:paraId="18B3E653" w14:textId="77777777">
        <w:trPr>
          <w:trHeight w:val="742"/>
        </w:trPr>
        <w:tc>
          <w:tcPr>
            <w:tcW w:w="3668" w:type="dxa"/>
            <w:tcBorders>
              <w:top w:val="single" w:sz="4" w:space="0" w:color="7F7F7F"/>
              <w:left w:val="nil"/>
              <w:bottom w:val="single" w:sz="4" w:space="0" w:color="7F7F7F"/>
              <w:right w:val="nil"/>
            </w:tcBorders>
          </w:tcPr>
          <w:p w14:paraId="0DDDC1C8" w14:textId="77777777" w:rsidR="000A5B37" w:rsidRDefault="00000000">
            <w:pPr>
              <w:spacing w:after="0" w:line="259" w:lineRule="auto"/>
              <w:ind w:left="122" w:right="0" w:firstLine="0"/>
              <w:jc w:val="left"/>
            </w:pPr>
            <w:r>
              <w:rPr>
                <w:sz w:val="20"/>
              </w:rPr>
              <w:t>Dubbel negatieve T-cellen (TCRαβ</w:t>
            </w:r>
            <w:r>
              <w:rPr>
                <w:sz w:val="20"/>
                <w:vertAlign w:val="superscript"/>
              </w:rPr>
              <w:t>+</w:t>
            </w:r>
            <w:r>
              <w:rPr>
                <w:sz w:val="20"/>
              </w:rPr>
              <w:t>CD3</w:t>
            </w:r>
            <w:r>
              <w:rPr>
                <w:sz w:val="20"/>
                <w:vertAlign w:val="superscript"/>
              </w:rPr>
              <w:t>+</w:t>
            </w:r>
            <w:r>
              <w:rPr>
                <w:sz w:val="20"/>
              </w:rPr>
              <w:t>CD4</w:t>
            </w:r>
            <w:r>
              <w:rPr>
                <w:sz w:val="20"/>
                <w:vertAlign w:val="superscript"/>
              </w:rPr>
              <w:t>-</w:t>
            </w:r>
            <w:r>
              <w:rPr>
                <w:sz w:val="20"/>
              </w:rPr>
              <w:t>CD8</w:t>
            </w:r>
            <w:r>
              <w:rPr>
                <w:sz w:val="20"/>
                <w:vertAlign w:val="superscript"/>
              </w:rPr>
              <w:t>-</w:t>
            </w:r>
            <w:r>
              <w:rPr>
                <w:sz w:val="20"/>
              </w:rPr>
              <w:t xml:space="preserve">) </w:t>
            </w:r>
          </w:p>
        </w:tc>
        <w:tc>
          <w:tcPr>
            <w:tcW w:w="2799" w:type="dxa"/>
            <w:tcBorders>
              <w:top w:val="single" w:sz="4" w:space="0" w:color="7F7F7F"/>
              <w:left w:val="nil"/>
              <w:bottom w:val="single" w:sz="4" w:space="0" w:color="7F7F7F"/>
              <w:right w:val="nil"/>
            </w:tcBorders>
          </w:tcPr>
          <w:p w14:paraId="0F5FD187" w14:textId="77777777" w:rsidR="000A5B37" w:rsidRDefault="00000000">
            <w:pPr>
              <w:spacing w:after="0" w:line="259" w:lineRule="auto"/>
              <w:ind w:left="0" w:right="0" w:firstLine="0"/>
              <w:jc w:val="left"/>
            </w:pPr>
            <w:r>
              <w:rPr>
                <w:sz w:val="20"/>
              </w:rPr>
              <w:t xml:space="preserve">TCRαβ, CD3, CD4, CD8 </w:t>
            </w:r>
          </w:p>
        </w:tc>
        <w:tc>
          <w:tcPr>
            <w:tcW w:w="2691" w:type="dxa"/>
            <w:tcBorders>
              <w:top w:val="single" w:sz="4" w:space="0" w:color="7F7F7F"/>
              <w:left w:val="nil"/>
              <w:bottom w:val="single" w:sz="4" w:space="0" w:color="7F7F7F"/>
              <w:right w:val="nil"/>
            </w:tcBorders>
          </w:tcPr>
          <w:p w14:paraId="69F5E089" w14:textId="77777777" w:rsidR="000A5B37" w:rsidRDefault="00000000">
            <w:pPr>
              <w:spacing w:after="0" w:line="259" w:lineRule="auto"/>
              <w:ind w:left="0" w:right="0" w:firstLine="0"/>
              <w:jc w:val="left"/>
            </w:pPr>
            <w:r>
              <w:rPr>
                <w:sz w:val="20"/>
              </w:rPr>
              <w:t xml:space="preserve">ALPS </w:t>
            </w:r>
          </w:p>
        </w:tc>
      </w:tr>
      <w:tr w:rsidR="000A5B37" w14:paraId="6F575DDD" w14:textId="77777777">
        <w:trPr>
          <w:trHeight w:val="745"/>
        </w:trPr>
        <w:tc>
          <w:tcPr>
            <w:tcW w:w="3668" w:type="dxa"/>
            <w:tcBorders>
              <w:top w:val="single" w:sz="4" w:space="0" w:color="7F7F7F"/>
              <w:left w:val="nil"/>
              <w:bottom w:val="single" w:sz="4" w:space="0" w:color="7F7F7F"/>
              <w:right w:val="nil"/>
            </w:tcBorders>
          </w:tcPr>
          <w:p w14:paraId="4897CFF9" w14:textId="77777777" w:rsidR="000A5B37" w:rsidRDefault="00000000">
            <w:pPr>
              <w:spacing w:after="0" w:line="259" w:lineRule="auto"/>
              <w:ind w:left="122" w:right="0" w:firstLine="0"/>
              <w:jc w:val="left"/>
            </w:pPr>
            <w:r>
              <w:rPr>
                <w:sz w:val="20"/>
              </w:rPr>
              <w:t>CD4</w:t>
            </w:r>
            <w:r>
              <w:rPr>
                <w:sz w:val="20"/>
                <w:vertAlign w:val="superscript"/>
              </w:rPr>
              <w:t>+</w:t>
            </w:r>
            <w:r>
              <w:rPr>
                <w:sz w:val="20"/>
              </w:rPr>
              <w:t xml:space="preserve"> T-cellen (aantal/µL), % naïeve CD4</w:t>
            </w:r>
            <w:r>
              <w:rPr>
                <w:sz w:val="20"/>
                <w:vertAlign w:val="superscript"/>
              </w:rPr>
              <w:t>+</w:t>
            </w:r>
            <w:r>
              <w:rPr>
                <w:sz w:val="20"/>
              </w:rPr>
              <w:t xml:space="preserve"> T-cellen </w:t>
            </w:r>
          </w:p>
        </w:tc>
        <w:tc>
          <w:tcPr>
            <w:tcW w:w="2799" w:type="dxa"/>
            <w:tcBorders>
              <w:top w:val="single" w:sz="4" w:space="0" w:color="7F7F7F"/>
              <w:left w:val="nil"/>
              <w:bottom w:val="single" w:sz="4" w:space="0" w:color="7F7F7F"/>
              <w:right w:val="nil"/>
            </w:tcBorders>
          </w:tcPr>
          <w:p w14:paraId="03126ACA" w14:textId="77777777" w:rsidR="000A5B37" w:rsidRDefault="00000000">
            <w:pPr>
              <w:spacing w:after="0" w:line="259" w:lineRule="auto"/>
              <w:ind w:left="0" w:right="0" w:firstLine="0"/>
              <w:jc w:val="left"/>
            </w:pPr>
            <w:r>
              <w:rPr>
                <w:sz w:val="20"/>
              </w:rPr>
              <w:t xml:space="preserve">Niet gespecificeerd </w:t>
            </w:r>
          </w:p>
        </w:tc>
        <w:tc>
          <w:tcPr>
            <w:tcW w:w="2691" w:type="dxa"/>
            <w:tcBorders>
              <w:top w:val="single" w:sz="4" w:space="0" w:color="7F7F7F"/>
              <w:left w:val="nil"/>
              <w:bottom w:val="single" w:sz="4" w:space="0" w:color="7F7F7F"/>
              <w:right w:val="nil"/>
            </w:tcBorders>
          </w:tcPr>
          <w:p w14:paraId="74976700" w14:textId="77777777" w:rsidR="000A5B37" w:rsidRDefault="00000000">
            <w:pPr>
              <w:spacing w:after="0" w:line="259" w:lineRule="auto"/>
              <w:ind w:left="0" w:right="0" w:firstLine="0"/>
              <w:jc w:val="left"/>
            </w:pPr>
            <w:r>
              <w:rPr>
                <w:sz w:val="20"/>
              </w:rPr>
              <w:t xml:space="preserve">HIGM, HIES (uitsluiten klasseswitch probleem t.g.v. Thelpercel deficiëntie) </w:t>
            </w:r>
          </w:p>
        </w:tc>
      </w:tr>
      <w:tr w:rsidR="000A5B37" w14:paraId="5A49989C" w14:textId="77777777">
        <w:trPr>
          <w:trHeight w:val="742"/>
        </w:trPr>
        <w:tc>
          <w:tcPr>
            <w:tcW w:w="3668" w:type="dxa"/>
            <w:tcBorders>
              <w:top w:val="single" w:sz="4" w:space="0" w:color="7F7F7F"/>
              <w:left w:val="nil"/>
              <w:bottom w:val="single" w:sz="4" w:space="0" w:color="7F7F7F"/>
              <w:right w:val="nil"/>
            </w:tcBorders>
          </w:tcPr>
          <w:p w14:paraId="05B8E997" w14:textId="77777777" w:rsidR="000A5B37" w:rsidRDefault="00000000">
            <w:pPr>
              <w:spacing w:after="0" w:line="259" w:lineRule="auto"/>
              <w:ind w:left="122" w:right="0" w:firstLine="0"/>
              <w:jc w:val="left"/>
            </w:pPr>
            <w:r>
              <w:rPr>
                <w:sz w:val="20"/>
              </w:rPr>
              <w:t>FOXP3 expressie in CD4</w:t>
            </w:r>
            <w:r>
              <w:rPr>
                <w:sz w:val="20"/>
                <w:vertAlign w:val="superscript"/>
              </w:rPr>
              <w:t>+</w:t>
            </w:r>
            <w:r>
              <w:rPr>
                <w:sz w:val="20"/>
              </w:rPr>
              <w:t>CD25</w:t>
            </w:r>
            <w:r>
              <w:rPr>
                <w:sz w:val="20"/>
                <w:vertAlign w:val="superscript"/>
              </w:rPr>
              <w:t>+</w:t>
            </w:r>
            <w:r>
              <w:rPr>
                <w:sz w:val="20"/>
              </w:rPr>
              <w:t xml:space="preserve"> T-cellen </w:t>
            </w:r>
          </w:p>
        </w:tc>
        <w:tc>
          <w:tcPr>
            <w:tcW w:w="2799" w:type="dxa"/>
            <w:tcBorders>
              <w:top w:val="single" w:sz="4" w:space="0" w:color="7F7F7F"/>
              <w:left w:val="nil"/>
              <w:bottom w:val="single" w:sz="4" w:space="0" w:color="7F7F7F"/>
              <w:right w:val="nil"/>
            </w:tcBorders>
          </w:tcPr>
          <w:p w14:paraId="21E5F48A" w14:textId="77777777" w:rsidR="000A5B37" w:rsidRDefault="00000000">
            <w:pPr>
              <w:spacing w:after="0" w:line="259" w:lineRule="auto"/>
              <w:ind w:left="0" w:right="0" w:firstLine="0"/>
              <w:jc w:val="left"/>
            </w:pPr>
            <w:r>
              <w:rPr>
                <w:sz w:val="20"/>
              </w:rPr>
              <w:t xml:space="preserve">CD4, CD25, FOXP3 </w:t>
            </w:r>
          </w:p>
        </w:tc>
        <w:tc>
          <w:tcPr>
            <w:tcW w:w="2691" w:type="dxa"/>
            <w:tcBorders>
              <w:top w:val="single" w:sz="4" w:space="0" w:color="7F7F7F"/>
              <w:left w:val="nil"/>
              <w:bottom w:val="single" w:sz="4" w:space="0" w:color="7F7F7F"/>
              <w:right w:val="nil"/>
            </w:tcBorders>
          </w:tcPr>
          <w:p w14:paraId="0DE30BD5" w14:textId="77777777" w:rsidR="000A5B37" w:rsidRDefault="00000000">
            <w:pPr>
              <w:spacing w:after="0" w:line="259" w:lineRule="auto"/>
              <w:ind w:left="0" w:right="0" w:firstLine="0"/>
              <w:jc w:val="left"/>
            </w:pPr>
            <w:r>
              <w:rPr>
                <w:sz w:val="20"/>
              </w:rPr>
              <w:t xml:space="preserve">IPEX </w:t>
            </w:r>
          </w:p>
        </w:tc>
      </w:tr>
      <w:tr w:rsidR="000A5B37" w14:paraId="08ECAB9B" w14:textId="77777777">
        <w:trPr>
          <w:trHeight w:val="742"/>
        </w:trPr>
        <w:tc>
          <w:tcPr>
            <w:tcW w:w="3668" w:type="dxa"/>
            <w:tcBorders>
              <w:top w:val="single" w:sz="4" w:space="0" w:color="7F7F7F"/>
              <w:left w:val="nil"/>
              <w:bottom w:val="single" w:sz="4" w:space="0" w:color="7F7F7F"/>
              <w:right w:val="nil"/>
            </w:tcBorders>
          </w:tcPr>
          <w:p w14:paraId="54707548" w14:textId="77777777" w:rsidR="000A5B37" w:rsidRDefault="00000000">
            <w:pPr>
              <w:spacing w:after="10" w:line="259" w:lineRule="auto"/>
              <w:ind w:left="122" w:right="0" w:firstLine="0"/>
              <w:jc w:val="left"/>
            </w:pPr>
            <w:r>
              <w:rPr>
                <w:sz w:val="20"/>
              </w:rPr>
              <w:lastRenderedPageBreak/>
              <w:t>CD3</w:t>
            </w:r>
            <w:r>
              <w:rPr>
                <w:sz w:val="20"/>
                <w:vertAlign w:val="superscript"/>
              </w:rPr>
              <w:t>+</w:t>
            </w:r>
            <w:r>
              <w:rPr>
                <w:sz w:val="20"/>
              </w:rPr>
              <w:t>, CD4</w:t>
            </w:r>
            <w:r>
              <w:rPr>
                <w:sz w:val="20"/>
                <w:vertAlign w:val="superscript"/>
              </w:rPr>
              <w:t>+</w:t>
            </w:r>
            <w:r>
              <w:rPr>
                <w:sz w:val="20"/>
              </w:rPr>
              <w:t>, CD8</w:t>
            </w:r>
            <w:r>
              <w:rPr>
                <w:sz w:val="20"/>
                <w:vertAlign w:val="superscript"/>
              </w:rPr>
              <w:t>+</w:t>
            </w:r>
            <w:r>
              <w:rPr>
                <w:sz w:val="20"/>
              </w:rPr>
              <w:t xml:space="preserve">, naïeve T-cellen, </w:t>
            </w:r>
          </w:p>
          <w:p w14:paraId="79503879" w14:textId="77777777" w:rsidR="000A5B37" w:rsidRDefault="00000000">
            <w:pPr>
              <w:spacing w:after="0" w:line="259" w:lineRule="auto"/>
              <w:ind w:left="122" w:right="0" w:firstLine="0"/>
              <w:jc w:val="left"/>
            </w:pPr>
            <w:r>
              <w:rPr>
                <w:sz w:val="20"/>
              </w:rPr>
              <w:t>CD56</w:t>
            </w:r>
            <w:r>
              <w:rPr>
                <w:sz w:val="20"/>
                <w:vertAlign w:val="superscript"/>
              </w:rPr>
              <w:t>+</w:t>
            </w:r>
            <w:r>
              <w:rPr>
                <w:sz w:val="20"/>
              </w:rPr>
              <w:t>/16</w:t>
            </w:r>
            <w:r>
              <w:rPr>
                <w:sz w:val="20"/>
                <w:vertAlign w:val="superscript"/>
              </w:rPr>
              <w:t>+</w:t>
            </w:r>
            <w:r>
              <w:rPr>
                <w:sz w:val="20"/>
              </w:rPr>
              <w:t xml:space="preserve"> NK-cellen, CD19</w:t>
            </w:r>
            <w:r>
              <w:rPr>
                <w:sz w:val="20"/>
                <w:vertAlign w:val="superscript"/>
              </w:rPr>
              <w:t>+</w:t>
            </w:r>
            <w:r>
              <w:rPr>
                <w:sz w:val="20"/>
              </w:rPr>
              <w:t xml:space="preserve"> B-cellen </w:t>
            </w:r>
          </w:p>
        </w:tc>
        <w:tc>
          <w:tcPr>
            <w:tcW w:w="2799" w:type="dxa"/>
            <w:tcBorders>
              <w:top w:val="single" w:sz="4" w:space="0" w:color="7F7F7F"/>
              <w:left w:val="nil"/>
              <w:bottom w:val="single" w:sz="4" w:space="0" w:color="7F7F7F"/>
              <w:right w:val="nil"/>
            </w:tcBorders>
          </w:tcPr>
          <w:p w14:paraId="15937AB0" w14:textId="77777777" w:rsidR="000A5B37" w:rsidRDefault="00000000">
            <w:pPr>
              <w:spacing w:after="0" w:line="259" w:lineRule="auto"/>
              <w:ind w:left="0" w:right="0" w:firstLine="0"/>
              <w:jc w:val="left"/>
            </w:pPr>
            <w:r>
              <w:rPr>
                <w:sz w:val="20"/>
              </w:rPr>
              <w:t xml:space="preserve">CD3, CD4, CD8, CD56/CD16, CD19, CD45RA/CD45RO  </w:t>
            </w:r>
          </w:p>
        </w:tc>
        <w:tc>
          <w:tcPr>
            <w:tcW w:w="2691" w:type="dxa"/>
            <w:tcBorders>
              <w:top w:val="single" w:sz="4" w:space="0" w:color="7F7F7F"/>
              <w:left w:val="nil"/>
              <w:bottom w:val="single" w:sz="4" w:space="0" w:color="7F7F7F"/>
              <w:right w:val="nil"/>
            </w:tcBorders>
          </w:tcPr>
          <w:p w14:paraId="55D667CF" w14:textId="77777777" w:rsidR="000A5B37" w:rsidRDefault="00000000">
            <w:pPr>
              <w:spacing w:after="0" w:line="259" w:lineRule="auto"/>
              <w:ind w:left="0" w:right="0" w:firstLine="0"/>
              <w:jc w:val="left"/>
            </w:pPr>
            <w:r>
              <w:rPr>
                <w:sz w:val="20"/>
              </w:rPr>
              <w:t xml:space="preserve">Hielprikscreening SCID </w:t>
            </w:r>
          </w:p>
          <w:p w14:paraId="1D59610B" w14:textId="77777777" w:rsidR="000A5B37" w:rsidRDefault="00000000">
            <w:pPr>
              <w:spacing w:after="0" w:line="259" w:lineRule="auto"/>
              <w:ind w:left="0" w:right="0" w:firstLine="0"/>
              <w:jc w:val="left"/>
            </w:pPr>
            <w:r>
              <w:rPr>
                <w:sz w:val="20"/>
              </w:rPr>
              <w:t xml:space="preserve">(afwijkende TREC-uitslag) </w:t>
            </w:r>
          </w:p>
        </w:tc>
      </w:tr>
    </w:tbl>
    <w:p w14:paraId="7A800D28" w14:textId="77777777" w:rsidR="000A5B37" w:rsidRDefault="00000000">
      <w:pPr>
        <w:spacing w:after="0" w:line="239" w:lineRule="auto"/>
        <w:ind w:left="0" w:right="6" w:firstLine="0"/>
      </w:pPr>
      <w:r>
        <w:rPr>
          <w:rFonts w:cs="Calibri"/>
          <w:i/>
          <w:sz w:val="16"/>
        </w:rPr>
        <w:t xml:space="preserve">CVID: common variable immunodeficiency; ALPS: auto-immuun lymfo proliferatief syndroom; HIGM: hyper IgM syndroom; HIES: hyper IgE syndroom; Ig:immunoglobuline; IPEX: immune dysregulation, polyendocrinopathy, enteropathy, X-linked; TREC T-cell receptor excision circles; SCID: severe combined immunodeficiency. </w:t>
      </w:r>
    </w:p>
    <w:p w14:paraId="1A6C8BCD" w14:textId="77777777" w:rsidR="00921506" w:rsidRDefault="00921506">
      <w:pPr>
        <w:ind w:left="-5" w:right="0"/>
      </w:pPr>
    </w:p>
    <w:p w14:paraId="1D85AC0C" w14:textId="2BFCC05D" w:rsidR="000A5B37" w:rsidRDefault="00000000">
      <w:pPr>
        <w:ind w:left="-5" w:right="0"/>
      </w:pPr>
      <w:r>
        <w:t xml:space="preserve">1.2. Immuunmonitoring </w:t>
      </w:r>
    </w:p>
    <w:p w14:paraId="2C260D38" w14:textId="77777777" w:rsidR="000A5B37" w:rsidRDefault="00000000">
      <w:pPr>
        <w:ind w:left="-5" w:right="0"/>
      </w:pPr>
      <w:r>
        <w:t>Zoals beschreven in onderdeel 1.1. speelt fenotypering van lymfocyten subsets een belangrijke rol in het monitoren van patiënten met een secundaire immuundeficiëntie. Op beperkte wijze wordt dit routinematig toegepast enerzijds bij patiënten met een HIV besmetting om de absolute aantallen CD4</w:t>
      </w:r>
      <w:r>
        <w:rPr>
          <w:vertAlign w:val="superscript"/>
        </w:rPr>
        <w:t>+</w:t>
      </w:r>
      <w:r>
        <w:t xml:space="preserve"> T-cellen te vervolgen en anderzijds bij patiënten die in het kader van een auto-immuunziekte behandeld worden met CD20 antilichamen om de B-cellen te depleteren. In het laatste geval zou men kunnen volstaan met het vervolgen van de absolute aantallen CD19</w:t>
      </w:r>
      <w:r>
        <w:rPr>
          <w:vertAlign w:val="superscript"/>
        </w:rPr>
        <w:t>+</w:t>
      </w:r>
      <w:r>
        <w:t xml:space="preserve"> B-cellen, maar verdere fenotypering biedt de mogelijkheid om het onderscheid te maken tussen terugkerende transitionele B-cellen en niet verwijderde plasmablasten. Ook de mate van hernieuwde opbouw van memory Bcellen kan relevant zijn voor beslissingen ten aanzien van verdere behandeling van betreffende patiëntengroep.</w:t>
      </w:r>
      <w:r>
        <w:rPr>
          <w:vertAlign w:val="superscript"/>
        </w:rPr>
        <w:t>4</w:t>
      </w:r>
      <w:r>
        <w:t xml:space="preserve"> Eerder is beschreven dat de repopulatie van memory B-cellen na anti-CD20 behandeling een vertraagd herstel laat zien, tot wel 2 jaar na behandeling, en dat tijdens de vroege herstelfase de B-celpopulatie voornamelijk gedomineerd wordt door transitionele B-cellen.</w:t>
      </w:r>
      <w:r>
        <w:rPr>
          <w:vertAlign w:val="superscript"/>
        </w:rPr>
        <w:t>5</w:t>
      </w:r>
      <w:r>
        <w:t xml:space="preserve"> </w:t>
      </w:r>
      <w:r>
        <w:rPr>
          <w:color w:val="FF0000"/>
        </w:rPr>
        <w:t xml:space="preserve">  </w:t>
      </w:r>
    </w:p>
    <w:p w14:paraId="4AD5F469" w14:textId="77777777" w:rsidR="000A5B37" w:rsidRDefault="00000000">
      <w:pPr>
        <w:spacing w:after="0" w:line="259" w:lineRule="auto"/>
        <w:ind w:left="0" w:right="0" w:firstLine="0"/>
        <w:jc w:val="left"/>
      </w:pPr>
      <w:r>
        <w:rPr>
          <w:color w:val="FF0000"/>
        </w:rPr>
        <w:t xml:space="preserve"> </w:t>
      </w:r>
    </w:p>
    <w:p w14:paraId="0D0E3C89" w14:textId="77777777" w:rsidR="000A5B37" w:rsidRDefault="00000000">
      <w:pPr>
        <w:spacing w:after="26"/>
        <w:ind w:left="-5" w:right="0"/>
      </w:pPr>
      <w:r>
        <w:t>Daarnaast is er een grote patiëntengroep die voor hun chronische immunologische aandoening jarenlang met (een combinatie van) immunosuppressieve therapie behandeld wordt. Afhankelijk van het type en de duur van therapie heeft dit zijn weerslag op de omvang en samenstelling van de lymfocytensubsets zoals gemeten in de circulatie. Het verlies van NK-cellen door langdurig gebruik van bijvoorbeeld azathioprine verhoogt het risico op maligniteiten, terwijl T-cel gerichte therapie op termijn kan resulteren in sterk verlaagde CD4</w:t>
      </w:r>
      <w:r>
        <w:rPr>
          <w:vertAlign w:val="superscript"/>
        </w:rPr>
        <w:t>+</w:t>
      </w:r>
      <w:r>
        <w:t xml:space="preserve"> T-cel aantallen (&lt;200/</w:t>
      </w:r>
      <w:r>
        <w:rPr>
          <w:sz w:val="24"/>
        </w:rPr>
        <w:t>µ</w:t>
      </w:r>
      <w:r>
        <w:t>L) met een verhoogd risico op opportunistische infecties zoals bekend bij HIV patiënten met dergelijk lage CD4+ T-cel aantallen. Hoewel er vooralsnog geen richtlijnen bestaan voor het monitoren van lymfocytensubsets in deze patiëntengroep, verdient deze toepassing wel aandacht in deze aanbeveling, zeker in het kader van besluitvorming omtrent stoppen of doorzetten van therapie en vaccinatieadviezen (zie aanvullend RIVM  vaccinatieadviezen bij chronische inflammatoire aandoeningen).</w:t>
      </w:r>
      <w:r>
        <w:rPr>
          <w:vertAlign w:val="superscript"/>
        </w:rPr>
        <w:t>6</w:t>
      </w:r>
      <w:r>
        <w:t xml:space="preserve"> </w:t>
      </w:r>
    </w:p>
    <w:p w14:paraId="763505D2" w14:textId="77777777" w:rsidR="000A5B37" w:rsidRDefault="00000000">
      <w:pPr>
        <w:spacing w:after="0" w:line="259" w:lineRule="auto"/>
        <w:ind w:left="0" w:right="0" w:firstLine="0"/>
        <w:jc w:val="left"/>
      </w:pPr>
      <w:r>
        <w:t xml:space="preserve"> </w:t>
      </w:r>
    </w:p>
    <w:p w14:paraId="6B2D3003" w14:textId="77777777" w:rsidR="000A5B37" w:rsidRDefault="00000000">
      <w:pPr>
        <w:ind w:left="-5" w:right="0"/>
      </w:pPr>
      <w:r>
        <w:t xml:space="preserve">1.3. Immuunreconstitutie </w:t>
      </w:r>
    </w:p>
    <w:p w14:paraId="3F97E47E" w14:textId="77777777" w:rsidR="000A5B37" w:rsidRDefault="00000000">
      <w:pPr>
        <w:ind w:left="-5" w:right="0"/>
      </w:pPr>
      <w:r>
        <w:t>Ook bij patiënten die een stamceltransplantatie hebben ondergaan kan een uitgebreide lymfocyten fenotypering extra informatie opleveren over de kwaliteit van de immuunreconstitutie. Snel herstel van het immuunsysteem qua samenstelling en functie is belangrijk voor de genezing en de langetermijn overleving van patiënten na een stamceltransplantatie. Tijdens de periode dat de verschillende immuuncelpopulaties afwezig of verlaagd zijn, zijn deze patiënten zeer kwetsbaar voor infecties. Bovendien spelen de immuun effectorcellen (o.a. TCR</w:t>
      </w:r>
      <w:r>
        <w:rPr>
          <w:rFonts w:cs="Calibri"/>
        </w:rPr>
        <w:t>αβ</w:t>
      </w:r>
      <w:r>
        <w:rPr>
          <w:vertAlign w:val="superscript"/>
        </w:rPr>
        <w:t>+</w:t>
      </w:r>
      <w:r>
        <w:t xml:space="preserve"> T-cellen, TCR</w:t>
      </w:r>
      <w:r>
        <w:rPr>
          <w:rFonts w:cs="Calibri"/>
        </w:rPr>
        <w:t>γδ</w:t>
      </w:r>
      <w:r>
        <w:rPr>
          <w:vertAlign w:val="superscript"/>
        </w:rPr>
        <w:t>+</w:t>
      </w:r>
      <w:r>
        <w:t xml:space="preserve"> T-cellen en NK-cellen) een belangrijke rol in de genezende anti-tumor reacties. Om deze reden is het belangrijk dat het herstel van de verschillende immuun effectorpopulaties vervolgd wordt.</w:t>
      </w:r>
      <w:r>
        <w:rPr>
          <w:vertAlign w:val="superscript"/>
        </w:rPr>
        <w:t>7, 8</w:t>
      </w:r>
      <w:r>
        <w:t xml:space="preserve"> Onder andere het type voorbehandeling (conditionering) en het type transplantaat dat de patiënt gekregen heeft kunnen de immuunreconstitutie snelheid beïnvloeden. Over het algemeen herstellen de NK-cellen relatief snel (~1 maand), gevolgd door T-cellen (~3-6 maanden) en B-cellen (6 maanden). Vanuit de RIVM en EBMT richtlijnen vaccinatieadviezen bij hematologische aandoeningen zijn tijdscriteria nog vaak leidend voor </w:t>
      </w:r>
    </w:p>
    <w:p w14:paraId="412583ED" w14:textId="77777777" w:rsidR="000A5B37" w:rsidRDefault="00000000">
      <w:pPr>
        <w:ind w:left="-5" w:right="0"/>
      </w:pPr>
      <w:r>
        <w:t>(her)vaccinaties om voldoende respons te krijgen. Biologische criteria zoals CD4+ T-</w:t>
      </w:r>
      <w:r>
        <w:rPr>
          <w:rFonts w:cs="Calibri"/>
        </w:rPr>
        <w:t xml:space="preserve">cellen &gt;200/μL en  </w:t>
      </w:r>
    </w:p>
    <w:p w14:paraId="5742DFE1" w14:textId="77777777" w:rsidR="000A5B37" w:rsidRDefault="00000000">
      <w:pPr>
        <w:spacing w:after="46"/>
        <w:ind w:left="-5" w:right="0"/>
      </w:pPr>
      <w:r>
        <w:t>CD19/CD20+ B-</w:t>
      </w:r>
      <w:r>
        <w:rPr>
          <w:rFonts w:cs="Calibri"/>
        </w:rPr>
        <w:t xml:space="preserve">cellen &gt;20/μL zijn </w:t>
      </w:r>
      <w:r>
        <w:t>additioneel hierin, hiervoor is nog meer onderzoek nodig.</w:t>
      </w:r>
      <w:r>
        <w:rPr>
          <w:vertAlign w:val="superscript"/>
        </w:rPr>
        <w:t>7, 9</w:t>
      </w:r>
      <w:r>
        <w:t xml:space="preserve"> </w:t>
      </w:r>
    </w:p>
    <w:p w14:paraId="3B93B133" w14:textId="77777777" w:rsidR="000A5B37" w:rsidRDefault="00000000">
      <w:pPr>
        <w:spacing w:after="0" w:line="259" w:lineRule="auto"/>
        <w:ind w:left="0" w:right="0" w:firstLine="0"/>
        <w:jc w:val="left"/>
      </w:pPr>
      <w:r>
        <w:t xml:space="preserve"> </w:t>
      </w:r>
    </w:p>
    <w:p w14:paraId="2C01D209" w14:textId="77777777" w:rsidR="000A5B37" w:rsidRDefault="00000000">
      <w:pPr>
        <w:pStyle w:val="Kop1"/>
        <w:ind w:left="205" w:hanging="220"/>
      </w:pPr>
      <w:r>
        <w:lastRenderedPageBreak/>
        <w:t xml:space="preserve">B- en T-cel subset analyse </w:t>
      </w:r>
    </w:p>
    <w:p w14:paraId="5CE37B4F" w14:textId="77777777" w:rsidR="000A5B37" w:rsidRDefault="00000000">
      <w:pPr>
        <w:ind w:left="-5" w:right="0"/>
      </w:pPr>
      <w:r>
        <w:t xml:space="preserve">2.1. Panels </w:t>
      </w:r>
    </w:p>
    <w:p w14:paraId="1DFE6FF3" w14:textId="77777777" w:rsidR="000A5B37" w:rsidRDefault="00000000">
      <w:pPr>
        <w:ind w:left="-5" w:right="0"/>
      </w:pPr>
      <w:r>
        <w:t>In deze aanbeveling zijn onderstaande basispanels opgesteld voor een B- en T-cel subset analyse op perifeer bloed. Aanvullend op de basispanels kan voor de T-cellen gekozen worden voor extra kleuringen om T-cel activatie (CD38</w:t>
      </w:r>
      <w:r>
        <w:rPr>
          <w:vertAlign w:val="superscript"/>
        </w:rPr>
        <w:t>+</w:t>
      </w:r>
      <w:r>
        <w:t xml:space="preserve"> en/of HLA-DR</w:t>
      </w:r>
      <w:r>
        <w:rPr>
          <w:vertAlign w:val="superscript"/>
        </w:rPr>
        <w:t>+</w:t>
      </w:r>
      <w:r>
        <w:t>) en recente thymus-emigranten (RTE, CD4</w:t>
      </w:r>
      <w:r>
        <w:rPr>
          <w:vertAlign w:val="superscript"/>
        </w:rPr>
        <w:t>+</w:t>
      </w:r>
      <w:r>
        <w:t>CD45RA</w:t>
      </w:r>
      <w:r>
        <w:rPr>
          <w:vertAlign w:val="superscript"/>
        </w:rPr>
        <w:t>+</w:t>
      </w:r>
      <w:r>
        <w:t>CD31</w:t>
      </w:r>
      <w:r>
        <w:rPr>
          <w:vertAlign w:val="superscript"/>
        </w:rPr>
        <w:t>+</w:t>
      </w:r>
      <w:r>
        <w:t xml:space="preserve">) te onderzoeken. Voor de B-cellen kan er in meer detail gekeken worden naar de isotype-geswitchte memory B-cellen (IgG/IgA/IgE). Voor het rapporteren van absolute aantallen van de verschillende B- en T-cel subsets is het noodzakelijk om een kwantitatieve bepaling uit te voeren. In Tabel 2 staan in dit kader enkele bekende opties voor het definiëren van T-, B- en NK-cellen.  </w:t>
      </w:r>
    </w:p>
    <w:p w14:paraId="4519867B" w14:textId="77777777" w:rsidR="000A5B37" w:rsidRDefault="00000000">
      <w:pPr>
        <w:spacing w:after="0" w:line="259" w:lineRule="auto"/>
        <w:ind w:left="0" w:right="0" w:firstLine="0"/>
        <w:jc w:val="left"/>
      </w:pPr>
      <w:r>
        <w:rPr>
          <w:rFonts w:cs="Calibri"/>
          <w:b/>
        </w:rPr>
        <w:t xml:space="preserve"> </w:t>
      </w:r>
    </w:p>
    <w:p w14:paraId="7F490847" w14:textId="77777777" w:rsidR="000A5B37" w:rsidRDefault="00000000">
      <w:pPr>
        <w:ind w:left="-5" w:right="0"/>
      </w:pPr>
      <w:r>
        <w:t xml:space="preserve">Tabel 2. Absolute aantallen T-, B- en NK-cellen* </w:t>
      </w:r>
    </w:p>
    <w:tbl>
      <w:tblPr>
        <w:tblStyle w:val="TableGrid"/>
        <w:tblW w:w="4277" w:type="dxa"/>
        <w:tblInd w:w="7" w:type="dxa"/>
        <w:tblCellMar>
          <w:top w:w="47" w:type="dxa"/>
          <w:left w:w="107" w:type="dxa"/>
          <w:bottom w:w="0" w:type="dxa"/>
          <w:right w:w="115" w:type="dxa"/>
        </w:tblCellMar>
        <w:tblLook w:val="04A0" w:firstRow="1" w:lastRow="0" w:firstColumn="1" w:lastColumn="0" w:noHBand="0" w:noVBand="1"/>
      </w:tblPr>
      <w:tblGrid>
        <w:gridCol w:w="1554"/>
        <w:gridCol w:w="2723"/>
      </w:tblGrid>
      <w:tr w:rsidR="000A5B37" w14:paraId="594DDC24" w14:textId="77777777">
        <w:trPr>
          <w:trHeight w:val="473"/>
        </w:trPr>
        <w:tc>
          <w:tcPr>
            <w:tcW w:w="1554" w:type="dxa"/>
            <w:tcBorders>
              <w:top w:val="single" w:sz="4" w:space="0" w:color="B4C6E7"/>
              <w:left w:val="single" w:sz="4" w:space="0" w:color="B4C6E7"/>
              <w:bottom w:val="single" w:sz="12" w:space="0" w:color="8EAADB"/>
              <w:right w:val="single" w:sz="4" w:space="0" w:color="B4C6E7"/>
            </w:tcBorders>
            <w:shd w:val="clear" w:color="auto" w:fill="F2F2F2"/>
          </w:tcPr>
          <w:p w14:paraId="2FCF85B4" w14:textId="77777777" w:rsidR="000A5B37" w:rsidRDefault="00000000">
            <w:pPr>
              <w:spacing w:after="0" w:line="259" w:lineRule="auto"/>
              <w:ind w:left="1" w:right="0" w:firstLine="0"/>
              <w:jc w:val="left"/>
            </w:pPr>
            <w:r>
              <w:rPr>
                <w:b/>
              </w:rPr>
              <w:t xml:space="preserve">Marker </w:t>
            </w:r>
          </w:p>
        </w:tc>
        <w:tc>
          <w:tcPr>
            <w:tcW w:w="2723" w:type="dxa"/>
            <w:tcBorders>
              <w:top w:val="single" w:sz="4" w:space="0" w:color="B4C6E7"/>
              <w:left w:val="single" w:sz="4" w:space="0" w:color="B4C6E7"/>
              <w:bottom w:val="single" w:sz="12" w:space="0" w:color="8EAADB"/>
              <w:right w:val="single" w:sz="4" w:space="0" w:color="B4C6E7"/>
            </w:tcBorders>
            <w:shd w:val="clear" w:color="auto" w:fill="F2F2F2"/>
          </w:tcPr>
          <w:p w14:paraId="4749123F" w14:textId="77777777" w:rsidR="000A5B37" w:rsidRDefault="00000000">
            <w:pPr>
              <w:spacing w:after="0" w:line="259" w:lineRule="auto"/>
              <w:ind w:left="0" w:right="0" w:firstLine="0"/>
              <w:jc w:val="left"/>
            </w:pPr>
            <w:r>
              <w:rPr>
                <w:b/>
              </w:rPr>
              <w:t xml:space="preserve">Kloon </w:t>
            </w:r>
          </w:p>
        </w:tc>
      </w:tr>
      <w:tr w:rsidR="000A5B37" w14:paraId="36B4B74F" w14:textId="77777777">
        <w:trPr>
          <w:trHeight w:val="445"/>
        </w:trPr>
        <w:tc>
          <w:tcPr>
            <w:tcW w:w="1554" w:type="dxa"/>
            <w:tcBorders>
              <w:top w:val="single" w:sz="12" w:space="0" w:color="8EAADB"/>
              <w:left w:val="single" w:sz="4" w:space="0" w:color="B4C6E7"/>
              <w:bottom w:val="single" w:sz="4" w:space="0" w:color="B4C6E7"/>
              <w:right w:val="single" w:sz="4" w:space="0" w:color="B4C6E7"/>
            </w:tcBorders>
          </w:tcPr>
          <w:p w14:paraId="1B034871" w14:textId="77777777" w:rsidR="000A5B37" w:rsidRDefault="00000000">
            <w:pPr>
              <w:spacing w:after="0" w:line="259" w:lineRule="auto"/>
              <w:ind w:left="1" w:right="0" w:firstLine="0"/>
              <w:jc w:val="left"/>
            </w:pPr>
            <w:r>
              <w:rPr>
                <w:sz w:val="20"/>
              </w:rPr>
              <w:t xml:space="preserve">CD3 </w:t>
            </w:r>
          </w:p>
        </w:tc>
        <w:tc>
          <w:tcPr>
            <w:tcW w:w="2723" w:type="dxa"/>
            <w:tcBorders>
              <w:top w:val="single" w:sz="12" w:space="0" w:color="8EAADB"/>
              <w:left w:val="single" w:sz="4" w:space="0" w:color="B4C6E7"/>
              <w:bottom w:val="single" w:sz="4" w:space="0" w:color="B4C6E7"/>
              <w:right w:val="single" w:sz="4" w:space="0" w:color="B4C6E7"/>
            </w:tcBorders>
          </w:tcPr>
          <w:p w14:paraId="67FED816" w14:textId="77777777" w:rsidR="000A5B37" w:rsidRDefault="00000000">
            <w:pPr>
              <w:spacing w:after="0" w:line="259" w:lineRule="auto"/>
              <w:ind w:left="0" w:right="0" w:firstLine="0"/>
              <w:jc w:val="left"/>
            </w:pPr>
            <w:r>
              <w:rPr>
                <w:sz w:val="20"/>
              </w:rPr>
              <w:t xml:space="preserve">SK7, UCHT1 </w:t>
            </w:r>
          </w:p>
        </w:tc>
      </w:tr>
      <w:tr w:rsidR="000A5B37" w14:paraId="76EC3DB3" w14:textId="77777777">
        <w:trPr>
          <w:trHeight w:val="432"/>
        </w:trPr>
        <w:tc>
          <w:tcPr>
            <w:tcW w:w="1554" w:type="dxa"/>
            <w:tcBorders>
              <w:top w:val="single" w:sz="4" w:space="0" w:color="B4C6E7"/>
              <w:left w:val="single" w:sz="4" w:space="0" w:color="B4C6E7"/>
              <w:bottom w:val="single" w:sz="4" w:space="0" w:color="B4C6E7"/>
              <w:right w:val="single" w:sz="4" w:space="0" w:color="B4C6E7"/>
            </w:tcBorders>
          </w:tcPr>
          <w:p w14:paraId="4DE91A14" w14:textId="77777777" w:rsidR="000A5B37" w:rsidRDefault="00000000">
            <w:pPr>
              <w:spacing w:after="0" w:line="259" w:lineRule="auto"/>
              <w:ind w:left="1" w:right="0" w:firstLine="0"/>
              <w:jc w:val="left"/>
            </w:pPr>
            <w:r>
              <w:rPr>
                <w:sz w:val="20"/>
              </w:rPr>
              <w:t xml:space="preserve">CD4 </w:t>
            </w:r>
          </w:p>
        </w:tc>
        <w:tc>
          <w:tcPr>
            <w:tcW w:w="2723" w:type="dxa"/>
            <w:tcBorders>
              <w:top w:val="single" w:sz="4" w:space="0" w:color="B4C6E7"/>
              <w:left w:val="single" w:sz="4" w:space="0" w:color="B4C6E7"/>
              <w:bottom w:val="single" w:sz="4" w:space="0" w:color="B4C6E7"/>
              <w:right w:val="single" w:sz="4" w:space="0" w:color="B4C6E7"/>
            </w:tcBorders>
          </w:tcPr>
          <w:p w14:paraId="029A5CF1" w14:textId="77777777" w:rsidR="000A5B37" w:rsidRDefault="00000000">
            <w:pPr>
              <w:spacing w:after="0" w:line="259" w:lineRule="auto"/>
              <w:ind w:left="0" w:right="0" w:firstLine="0"/>
              <w:jc w:val="left"/>
            </w:pPr>
            <w:r>
              <w:rPr>
                <w:sz w:val="20"/>
              </w:rPr>
              <w:t xml:space="preserve">SK3, SFCI12T4D11 </w:t>
            </w:r>
          </w:p>
        </w:tc>
      </w:tr>
      <w:tr w:rsidR="000A5B37" w14:paraId="7A5E2EDB" w14:textId="77777777">
        <w:trPr>
          <w:trHeight w:val="432"/>
        </w:trPr>
        <w:tc>
          <w:tcPr>
            <w:tcW w:w="1554" w:type="dxa"/>
            <w:tcBorders>
              <w:top w:val="single" w:sz="4" w:space="0" w:color="B4C6E7"/>
              <w:left w:val="single" w:sz="4" w:space="0" w:color="B4C6E7"/>
              <w:bottom w:val="single" w:sz="4" w:space="0" w:color="B4C6E7"/>
              <w:right w:val="single" w:sz="4" w:space="0" w:color="B4C6E7"/>
            </w:tcBorders>
          </w:tcPr>
          <w:p w14:paraId="6007E60D" w14:textId="77777777" w:rsidR="000A5B37" w:rsidRDefault="00000000">
            <w:pPr>
              <w:spacing w:after="0" w:line="259" w:lineRule="auto"/>
              <w:ind w:left="1" w:right="0" w:firstLine="0"/>
              <w:jc w:val="left"/>
            </w:pPr>
            <w:r>
              <w:rPr>
                <w:sz w:val="20"/>
              </w:rPr>
              <w:t xml:space="preserve">CD8 </w:t>
            </w:r>
          </w:p>
        </w:tc>
        <w:tc>
          <w:tcPr>
            <w:tcW w:w="2723" w:type="dxa"/>
            <w:tcBorders>
              <w:top w:val="single" w:sz="4" w:space="0" w:color="B4C6E7"/>
              <w:left w:val="single" w:sz="4" w:space="0" w:color="B4C6E7"/>
              <w:bottom w:val="single" w:sz="4" w:space="0" w:color="B4C6E7"/>
              <w:right w:val="single" w:sz="4" w:space="0" w:color="B4C6E7"/>
            </w:tcBorders>
          </w:tcPr>
          <w:p w14:paraId="2A117264" w14:textId="77777777" w:rsidR="000A5B37" w:rsidRDefault="00000000">
            <w:pPr>
              <w:spacing w:after="0" w:line="259" w:lineRule="auto"/>
              <w:ind w:left="0" w:right="0" w:firstLine="0"/>
              <w:jc w:val="left"/>
            </w:pPr>
            <w:r>
              <w:rPr>
                <w:sz w:val="20"/>
              </w:rPr>
              <w:t xml:space="preserve">SK1, SFCI21Thy2D3 </w:t>
            </w:r>
          </w:p>
        </w:tc>
      </w:tr>
      <w:tr w:rsidR="000A5B37" w14:paraId="49BD9579" w14:textId="77777777">
        <w:trPr>
          <w:trHeight w:val="432"/>
        </w:trPr>
        <w:tc>
          <w:tcPr>
            <w:tcW w:w="1554" w:type="dxa"/>
            <w:tcBorders>
              <w:top w:val="single" w:sz="4" w:space="0" w:color="B4C6E7"/>
              <w:left w:val="single" w:sz="4" w:space="0" w:color="B4C6E7"/>
              <w:bottom w:val="single" w:sz="4" w:space="0" w:color="B4C6E7"/>
              <w:right w:val="single" w:sz="4" w:space="0" w:color="B4C6E7"/>
            </w:tcBorders>
          </w:tcPr>
          <w:p w14:paraId="0A38812C" w14:textId="77777777" w:rsidR="000A5B37" w:rsidRDefault="00000000">
            <w:pPr>
              <w:spacing w:after="0" w:line="259" w:lineRule="auto"/>
              <w:ind w:left="1" w:right="0" w:firstLine="0"/>
              <w:jc w:val="left"/>
            </w:pPr>
            <w:r>
              <w:rPr>
                <w:sz w:val="20"/>
              </w:rPr>
              <w:t xml:space="preserve">CD16 </w:t>
            </w:r>
          </w:p>
        </w:tc>
        <w:tc>
          <w:tcPr>
            <w:tcW w:w="2723" w:type="dxa"/>
            <w:tcBorders>
              <w:top w:val="single" w:sz="4" w:space="0" w:color="B4C6E7"/>
              <w:left w:val="single" w:sz="4" w:space="0" w:color="B4C6E7"/>
              <w:bottom w:val="single" w:sz="4" w:space="0" w:color="B4C6E7"/>
              <w:right w:val="single" w:sz="4" w:space="0" w:color="B4C6E7"/>
            </w:tcBorders>
          </w:tcPr>
          <w:p w14:paraId="34C020F8" w14:textId="77777777" w:rsidR="000A5B37" w:rsidRDefault="00000000">
            <w:pPr>
              <w:spacing w:after="0" w:line="259" w:lineRule="auto"/>
              <w:ind w:left="0" w:right="0" w:firstLine="0"/>
              <w:jc w:val="left"/>
            </w:pPr>
            <w:r>
              <w:rPr>
                <w:sz w:val="20"/>
              </w:rPr>
              <w:t xml:space="preserve">B73.1**, 3G8 </w:t>
            </w:r>
          </w:p>
        </w:tc>
      </w:tr>
      <w:tr w:rsidR="000A5B37" w14:paraId="4468B022" w14:textId="77777777">
        <w:trPr>
          <w:trHeight w:val="432"/>
        </w:trPr>
        <w:tc>
          <w:tcPr>
            <w:tcW w:w="1554" w:type="dxa"/>
            <w:tcBorders>
              <w:top w:val="single" w:sz="4" w:space="0" w:color="B4C6E7"/>
              <w:left w:val="single" w:sz="4" w:space="0" w:color="B4C6E7"/>
              <w:bottom w:val="single" w:sz="4" w:space="0" w:color="B4C6E7"/>
              <w:right w:val="single" w:sz="4" w:space="0" w:color="B4C6E7"/>
            </w:tcBorders>
          </w:tcPr>
          <w:p w14:paraId="091C1276" w14:textId="77777777" w:rsidR="000A5B37" w:rsidRDefault="00000000">
            <w:pPr>
              <w:spacing w:after="0" w:line="259" w:lineRule="auto"/>
              <w:ind w:left="1" w:right="0" w:firstLine="0"/>
              <w:jc w:val="left"/>
            </w:pPr>
            <w:r>
              <w:rPr>
                <w:sz w:val="20"/>
              </w:rPr>
              <w:t xml:space="preserve">CD19 </w:t>
            </w:r>
          </w:p>
        </w:tc>
        <w:tc>
          <w:tcPr>
            <w:tcW w:w="2723" w:type="dxa"/>
            <w:tcBorders>
              <w:top w:val="single" w:sz="4" w:space="0" w:color="B4C6E7"/>
              <w:left w:val="single" w:sz="4" w:space="0" w:color="B4C6E7"/>
              <w:bottom w:val="single" w:sz="4" w:space="0" w:color="B4C6E7"/>
              <w:right w:val="single" w:sz="4" w:space="0" w:color="B4C6E7"/>
            </w:tcBorders>
          </w:tcPr>
          <w:p w14:paraId="14FCE1A2" w14:textId="77777777" w:rsidR="000A5B37" w:rsidRDefault="00000000">
            <w:pPr>
              <w:spacing w:after="0" w:line="259" w:lineRule="auto"/>
              <w:ind w:left="0" w:right="0" w:firstLine="0"/>
              <w:jc w:val="left"/>
            </w:pPr>
            <w:r>
              <w:rPr>
                <w:sz w:val="20"/>
              </w:rPr>
              <w:t xml:space="preserve">SJ25C1, J3-119 </w:t>
            </w:r>
          </w:p>
        </w:tc>
      </w:tr>
      <w:tr w:rsidR="000A5B37" w14:paraId="49105CDA" w14:textId="77777777">
        <w:trPr>
          <w:trHeight w:val="433"/>
        </w:trPr>
        <w:tc>
          <w:tcPr>
            <w:tcW w:w="1554" w:type="dxa"/>
            <w:tcBorders>
              <w:top w:val="single" w:sz="4" w:space="0" w:color="B4C6E7"/>
              <w:left w:val="single" w:sz="4" w:space="0" w:color="B4C6E7"/>
              <w:bottom w:val="single" w:sz="4" w:space="0" w:color="B4C6E7"/>
              <w:right w:val="single" w:sz="4" w:space="0" w:color="B4C6E7"/>
            </w:tcBorders>
          </w:tcPr>
          <w:p w14:paraId="7F39EF99" w14:textId="77777777" w:rsidR="000A5B37" w:rsidRDefault="00000000">
            <w:pPr>
              <w:spacing w:after="0" w:line="259" w:lineRule="auto"/>
              <w:ind w:left="1" w:right="0" w:firstLine="0"/>
              <w:jc w:val="left"/>
            </w:pPr>
            <w:r>
              <w:rPr>
                <w:sz w:val="20"/>
              </w:rPr>
              <w:t xml:space="preserve">CD45 </w:t>
            </w:r>
          </w:p>
        </w:tc>
        <w:tc>
          <w:tcPr>
            <w:tcW w:w="2723" w:type="dxa"/>
            <w:tcBorders>
              <w:top w:val="single" w:sz="4" w:space="0" w:color="B4C6E7"/>
              <w:left w:val="single" w:sz="4" w:space="0" w:color="B4C6E7"/>
              <w:bottom w:val="single" w:sz="4" w:space="0" w:color="B4C6E7"/>
              <w:right w:val="single" w:sz="4" w:space="0" w:color="B4C6E7"/>
            </w:tcBorders>
          </w:tcPr>
          <w:p w14:paraId="6CA9CC52" w14:textId="77777777" w:rsidR="000A5B37" w:rsidRDefault="00000000">
            <w:pPr>
              <w:spacing w:after="0" w:line="259" w:lineRule="auto"/>
              <w:ind w:left="0" w:right="0" w:firstLine="0"/>
              <w:jc w:val="left"/>
            </w:pPr>
            <w:r>
              <w:rPr>
                <w:sz w:val="20"/>
              </w:rPr>
              <w:t xml:space="preserve">2D1, B3821F4A, J33 </w:t>
            </w:r>
          </w:p>
        </w:tc>
      </w:tr>
      <w:tr w:rsidR="000A5B37" w14:paraId="676FDAB6" w14:textId="77777777">
        <w:trPr>
          <w:trHeight w:val="434"/>
        </w:trPr>
        <w:tc>
          <w:tcPr>
            <w:tcW w:w="1554" w:type="dxa"/>
            <w:tcBorders>
              <w:top w:val="single" w:sz="4" w:space="0" w:color="B4C6E7"/>
              <w:left w:val="single" w:sz="4" w:space="0" w:color="B4C6E7"/>
              <w:bottom w:val="single" w:sz="4" w:space="0" w:color="B4C6E7"/>
              <w:right w:val="single" w:sz="4" w:space="0" w:color="B4C6E7"/>
            </w:tcBorders>
          </w:tcPr>
          <w:p w14:paraId="13C6E2CD" w14:textId="77777777" w:rsidR="000A5B37" w:rsidRDefault="00000000">
            <w:pPr>
              <w:spacing w:after="0" w:line="259" w:lineRule="auto"/>
              <w:ind w:left="1" w:right="0" w:firstLine="0"/>
              <w:jc w:val="left"/>
            </w:pPr>
            <w:r>
              <w:rPr>
                <w:sz w:val="20"/>
              </w:rPr>
              <w:t xml:space="preserve">CD56 </w:t>
            </w:r>
          </w:p>
        </w:tc>
        <w:tc>
          <w:tcPr>
            <w:tcW w:w="2723" w:type="dxa"/>
            <w:tcBorders>
              <w:top w:val="single" w:sz="4" w:space="0" w:color="B4C6E7"/>
              <w:left w:val="single" w:sz="4" w:space="0" w:color="B4C6E7"/>
              <w:bottom w:val="single" w:sz="4" w:space="0" w:color="B4C6E7"/>
              <w:right w:val="single" w:sz="4" w:space="0" w:color="B4C6E7"/>
            </w:tcBorders>
          </w:tcPr>
          <w:p w14:paraId="4FF79083" w14:textId="77777777" w:rsidR="000A5B37" w:rsidRDefault="00000000">
            <w:pPr>
              <w:spacing w:after="0" w:line="259" w:lineRule="auto"/>
              <w:ind w:left="0" w:right="0" w:firstLine="0"/>
              <w:jc w:val="left"/>
            </w:pPr>
            <w:r>
              <w:rPr>
                <w:sz w:val="20"/>
              </w:rPr>
              <w:t xml:space="preserve">NCAM16.2, N901 </w:t>
            </w:r>
          </w:p>
        </w:tc>
      </w:tr>
    </w:tbl>
    <w:p w14:paraId="49267240" w14:textId="77777777" w:rsidR="000A5B37" w:rsidRDefault="00000000">
      <w:pPr>
        <w:numPr>
          <w:ilvl w:val="0"/>
          <w:numId w:val="1"/>
        </w:numPr>
        <w:spacing w:after="53" w:line="248" w:lineRule="auto"/>
        <w:ind w:right="0" w:hanging="116"/>
      </w:pPr>
      <w:r>
        <w:rPr>
          <w:sz w:val="16"/>
        </w:rPr>
        <w:t xml:space="preserve">Voorbeelden van CE-gemarkeerde beschikbare testen: TBNK BD Multitest met BD TruCount tubes, TBNK met Aquios Tetra-1/Tetra-2 kit. **Bij een enkele CD16 kleuring zonder CD56 wordt kloon 3G8 aanbevolen in verband met CD16 epitoop deficiëntie in sommige patiënten door een mutatie in het CD16 epitoop waar kloon B73.1 bindt.  </w:t>
      </w:r>
    </w:p>
    <w:p w14:paraId="62F9DDEF" w14:textId="77777777" w:rsidR="000A5B37" w:rsidRDefault="00000000">
      <w:pPr>
        <w:spacing w:after="0" w:line="259" w:lineRule="auto"/>
        <w:ind w:left="0" w:right="0" w:firstLine="0"/>
        <w:jc w:val="left"/>
      </w:pPr>
      <w:r>
        <w:t xml:space="preserve"> </w:t>
      </w:r>
    </w:p>
    <w:p w14:paraId="26C40E1D" w14:textId="77777777" w:rsidR="000A5B37" w:rsidRDefault="00000000">
      <w:pPr>
        <w:ind w:left="-5" w:right="0"/>
      </w:pPr>
      <w:r>
        <w:t xml:space="preserve">Tabel 3. B-cel subset analyse </w:t>
      </w:r>
    </w:p>
    <w:tbl>
      <w:tblPr>
        <w:tblStyle w:val="TableGrid"/>
        <w:tblW w:w="6797" w:type="dxa"/>
        <w:tblInd w:w="7" w:type="dxa"/>
        <w:tblCellMar>
          <w:top w:w="45" w:type="dxa"/>
          <w:left w:w="107" w:type="dxa"/>
          <w:bottom w:w="0" w:type="dxa"/>
          <w:right w:w="97" w:type="dxa"/>
        </w:tblCellMar>
        <w:tblLook w:val="04A0" w:firstRow="1" w:lastRow="0" w:firstColumn="1" w:lastColumn="0" w:noHBand="0" w:noVBand="1"/>
      </w:tblPr>
      <w:tblGrid>
        <w:gridCol w:w="2206"/>
        <w:gridCol w:w="1617"/>
        <w:gridCol w:w="2974"/>
      </w:tblGrid>
      <w:tr w:rsidR="000A5B37" w14:paraId="7B609BBD" w14:textId="77777777">
        <w:trPr>
          <w:trHeight w:val="426"/>
        </w:trPr>
        <w:tc>
          <w:tcPr>
            <w:tcW w:w="2206" w:type="dxa"/>
            <w:tcBorders>
              <w:top w:val="single" w:sz="4" w:space="0" w:color="B4C6E7"/>
              <w:left w:val="single" w:sz="4" w:space="0" w:color="B4C6E7"/>
              <w:bottom w:val="single" w:sz="12" w:space="0" w:color="8EAADB"/>
              <w:right w:val="single" w:sz="4" w:space="0" w:color="B4C6E7"/>
            </w:tcBorders>
            <w:shd w:val="clear" w:color="auto" w:fill="F2F2F2"/>
          </w:tcPr>
          <w:p w14:paraId="4A5E44C7" w14:textId="77777777" w:rsidR="000A5B37" w:rsidRDefault="00000000">
            <w:pPr>
              <w:spacing w:after="0" w:line="259" w:lineRule="auto"/>
              <w:ind w:left="1" w:right="0" w:firstLine="0"/>
              <w:jc w:val="left"/>
            </w:pPr>
            <w:r>
              <w:rPr>
                <w:b/>
                <w:sz w:val="20"/>
              </w:rPr>
              <w:t xml:space="preserve"> </w:t>
            </w:r>
          </w:p>
        </w:tc>
        <w:tc>
          <w:tcPr>
            <w:tcW w:w="1617" w:type="dxa"/>
            <w:tcBorders>
              <w:top w:val="single" w:sz="4" w:space="0" w:color="B4C6E7"/>
              <w:left w:val="single" w:sz="4" w:space="0" w:color="B4C6E7"/>
              <w:bottom w:val="single" w:sz="12" w:space="0" w:color="8EAADB"/>
              <w:right w:val="single" w:sz="4" w:space="0" w:color="B4C6E7"/>
            </w:tcBorders>
            <w:shd w:val="clear" w:color="auto" w:fill="F2F2F2"/>
          </w:tcPr>
          <w:p w14:paraId="1D8162C2" w14:textId="77777777" w:rsidR="000A5B37" w:rsidRDefault="00000000">
            <w:pPr>
              <w:spacing w:after="0" w:line="259" w:lineRule="auto"/>
              <w:ind w:left="1" w:right="0" w:firstLine="0"/>
              <w:jc w:val="left"/>
            </w:pPr>
            <w:r>
              <w:rPr>
                <w:b/>
              </w:rPr>
              <w:t xml:space="preserve">Marker </w:t>
            </w:r>
          </w:p>
        </w:tc>
        <w:tc>
          <w:tcPr>
            <w:tcW w:w="2974" w:type="dxa"/>
            <w:tcBorders>
              <w:top w:val="single" w:sz="4" w:space="0" w:color="B4C6E7"/>
              <w:left w:val="single" w:sz="4" w:space="0" w:color="B4C6E7"/>
              <w:bottom w:val="single" w:sz="12" w:space="0" w:color="8EAADB"/>
              <w:right w:val="single" w:sz="4" w:space="0" w:color="B4C6E7"/>
            </w:tcBorders>
            <w:shd w:val="clear" w:color="auto" w:fill="F2F2F2"/>
          </w:tcPr>
          <w:p w14:paraId="07B66580" w14:textId="77777777" w:rsidR="000A5B37" w:rsidRDefault="00000000">
            <w:pPr>
              <w:spacing w:after="0" w:line="259" w:lineRule="auto"/>
              <w:ind w:left="0" w:right="0" w:firstLine="0"/>
              <w:jc w:val="left"/>
            </w:pPr>
            <w:r>
              <w:rPr>
                <w:b/>
              </w:rPr>
              <w:t xml:space="preserve">Kloon </w:t>
            </w:r>
          </w:p>
        </w:tc>
      </w:tr>
      <w:tr w:rsidR="000A5B37" w14:paraId="7BAE4272" w14:textId="77777777">
        <w:trPr>
          <w:trHeight w:val="512"/>
        </w:trPr>
        <w:tc>
          <w:tcPr>
            <w:tcW w:w="2206" w:type="dxa"/>
            <w:vMerge w:val="restart"/>
            <w:tcBorders>
              <w:top w:val="single" w:sz="12" w:space="0" w:color="8EAADB"/>
              <w:left w:val="single" w:sz="4" w:space="0" w:color="B4C6E7"/>
              <w:bottom w:val="single" w:sz="4" w:space="0" w:color="B4C6E7"/>
              <w:right w:val="single" w:sz="4" w:space="0" w:color="B4C6E7"/>
            </w:tcBorders>
          </w:tcPr>
          <w:p w14:paraId="4443A35C" w14:textId="77777777" w:rsidR="000A5B37" w:rsidRDefault="00000000">
            <w:pPr>
              <w:spacing w:after="0" w:line="259" w:lineRule="auto"/>
              <w:ind w:left="1" w:right="0" w:firstLine="0"/>
              <w:jc w:val="left"/>
            </w:pPr>
            <w:r>
              <w:rPr>
                <w:b/>
                <w:sz w:val="20"/>
              </w:rPr>
              <w:t xml:space="preserve">Basis </w:t>
            </w:r>
          </w:p>
        </w:tc>
        <w:tc>
          <w:tcPr>
            <w:tcW w:w="1617" w:type="dxa"/>
            <w:tcBorders>
              <w:top w:val="single" w:sz="12" w:space="0" w:color="8EAADB"/>
              <w:left w:val="single" w:sz="4" w:space="0" w:color="B4C6E7"/>
              <w:bottom w:val="single" w:sz="4" w:space="0" w:color="B4C6E7"/>
              <w:right w:val="single" w:sz="4" w:space="0" w:color="B4C6E7"/>
            </w:tcBorders>
          </w:tcPr>
          <w:p w14:paraId="71DEEA71" w14:textId="77777777" w:rsidR="000A5B37" w:rsidRDefault="00000000">
            <w:pPr>
              <w:spacing w:after="0" w:line="259" w:lineRule="auto"/>
              <w:ind w:left="1" w:right="0" w:firstLine="0"/>
              <w:jc w:val="left"/>
            </w:pPr>
            <w:r>
              <w:rPr>
                <w:sz w:val="20"/>
              </w:rPr>
              <w:t xml:space="preserve">CD19* </w:t>
            </w:r>
          </w:p>
          <w:p w14:paraId="0FD4F215" w14:textId="77777777" w:rsidR="000A5B37" w:rsidRDefault="00000000">
            <w:pPr>
              <w:spacing w:after="0" w:line="259" w:lineRule="auto"/>
              <w:ind w:left="1" w:right="0" w:firstLine="0"/>
              <w:jc w:val="left"/>
            </w:pPr>
            <w:r>
              <w:rPr>
                <w:sz w:val="20"/>
              </w:rPr>
              <w:t xml:space="preserve"> </w:t>
            </w:r>
          </w:p>
        </w:tc>
        <w:tc>
          <w:tcPr>
            <w:tcW w:w="2974" w:type="dxa"/>
            <w:tcBorders>
              <w:top w:val="single" w:sz="12" w:space="0" w:color="8EAADB"/>
              <w:left w:val="single" w:sz="4" w:space="0" w:color="B4C6E7"/>
              <w:bottom w:val="single" w:sz="4" w:space="0" w:color="B4C6E7"/>
              <w:right w:val="single" w:sz="4" w:space="0" w:color="B4C6E7"/>
            </w:tcBorders>
          </w:tcPr>
          <w:p w14:paraId="7757BB02" w14:textId="77777777" w:rsidR="000A5B37" w:rsidRDefault="00000000">
            <w:pPr>
              <w:spacing w:after="0" w:line="259" w:lineRule="auto"/>
              <w:ind w:left="0" w:right="0" w:firstLine="0"/>
              <w:jc w:val="left"/>
            </w:pPr>
            <w:r>
              <w:rPr>
                <w:sz w:val="20"/>
              </w:rPr>
              <w:t xml:space="preserve">J3-119, SJ25C1, HIB19 </w:t>
            </w:r>
          </w:p>
        </w:tc>
      </w:tr>
      <w:tr w:rsidR="000A5B37" w14:paraId="26BEF425" w14:textId="77777777">
        <w:trPr>
          <w:trHeight w:val="497"/>
        </w:trPr>
        <w:tc>
          <w:tcPr>
            <w:tcW w:w="0" w:type="auto"/>
            <w:vMerge/>
            <w:tcBorders>
              <w:top w:val="nil"/>
              <w:left w:val="single" w:sz="4" w:space="0" w:color="B4C6E7"/>
              <w:bottom w:val="nil"/>
              <w:right w:val="single" w:sz="4" w:space="0" w:color="B4C6E7"/>
            </w:tcBorders>
          </w:tcPr>
          <w:p w14:paraId="67380007"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6A660D0B" w14:textId="77777777" w:rsidR="000A5B37" w:rsidRDefault="00000000">
            <w:pPr>
              <w:spacing w:after="0" w:line="259" w:lineRule="auto"/>
              <w:ind w:left="1" w:right="0" w:firstLine="0"/>
              <w:jc w:val="left"/>
            </w:pPr>
            <w:r>
              <w:rPr>
                <w:sz w:val="20"/>
              </w:rPr>
              <w:t xml:space="preserve">CD20* </w:t>
            </w:r>
          </w:p>
        </w:tc>
        <w:tc>
          <w:tcPr>
            <w:tcW w:w="2974" w:type="dxa"/>
            <w:tcBorders>
              <w:top w:val="single" w:sz="4" w:space="0" w:color="B4C6E7"/>
              <w:left w:val="single" w:sz="4" w:space="0" w:color="B4C6E7"/>
              <w:bottom w:val="single" w:sz="4" w:space="0" w:color="B4C6E7"/>
              <w:right w:val="single" w:sz="4" w:space="0" w:color="B4C6E7"/>
            </w:tcBorders>
          </w:tcPr>
          <w:p w14:paraId="680F4C8A" w14:textId="77777777" w:rsidR="000A5B37" w:rsidRDefault="00000000">
            <w:pPr>
              <w:spacing w:after="0" w:line="259" w:lineRule="auto"/>
              <w:ind w:left="0" w:right="0" w:firstLine="0"/>
              <w:jc w:val="left"/>
            </w:pPr>
            <w:r>
              <w:rPr>
                <w:sz w:val="20"/>
              </w:rPr>
              <w:t xml:space="preserve">B9E9(HRC20), 2H7 </w:t>
            </w:r>
          </w:p>
          <w:p w14:paraId="2DF83967" w14:textId="77777777" w:rsidR="000A5B37" w:rsidRDefault="00000000">
            <w:pPr>
              <w:spacing w:after="0" w:line="259" w:lineRule="auto"/>
              <w:ind w:left="0" w:right="0" w:firstLine="0"/>
              <w:jc w:val="left"/>
            </w:pPr>
            <w:r>
              <w:rPr>
                <w:sz w:val="20"/>
              </w:rPr>
              <w:t xml:space="preserve"> </w:t>
            </w:r>
          </w:p>
        </w:tc>
      </w:tr>
      <w:tr w:rsidR="000A5B37" w14:paraId="34FCDDC4" w14:textId="77777777">
        <w:trPr>
          <w:trHeight w:val="499"/>
        </w:trPr>
        <w:tc>
          <w:tcPr>
            <w:tcW w:w="0" w:type="auto"/>
            <w:vMerge/>
            <w:tcBorders>
              <w:top w:val="nil"/>
              <w:left w:val="single" w:sz="4" w:space="0" w:color="B4C6E7"/>
              <w:bottom w:val="nil"/>
              <w:right w:val="single" w:sz="4" w:space="0" w:color="B4C6E7"/>
            </w:tcBorders>
          </w:tcPr>
          <w:p w14:paraId="06A8ED1C"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199D1175" w14:textId="77777777" w:rsidR="000A5B37" w:rsidRDefault="00000000">
            <w:pPr>
              <w:spacing w:after="0" w:line="259" w:lineRule="auto"/>
              <w:ind w:left="1" w:right="0" w:firstLine="0"/>
              <w:jc w:val="left"/>
            </w:pPr>
            <w:r>
              <w:rPr>
                <w:sz w:val="20"/>
              </w:rPr>
              <w:t xml:space="preserve">CD24 </w:t>
            </w:r>
          </w:p>
        </w:tc>
        <w:tc>
          <w:tcPr>
            <w:tcW w:w="2974" w:type="dxa"/>
            <w:tcBorders>
              <w:top w:val="single" w:sz="4" w:space="0" w:color="B4C6E7"/>
              <w:left w:val="single" w:sz="4" w:space="0" w:color="B4C6E7"/>
              <w:bottom w:val="single" w:sz="4" w:space="0" w:color="B4C6E7"/>
              <w:right w:val="single" w:sz="4" w:space="0" w:color="B4C6E7"/>
            </w:tcBorders>
          </w:tcPr>
          <w:p w14:paraId="39B37784" w14:textId="77777777" w:rsidR="000A5B37" w:rsidRDefault="00000000">
            <w:pPr>
              <w:spacing w:after="0" w:line="259" w:lineRule="auto"/>
              <w:ind w:left="0" w:right="0" w:firstLine="0"/>
              <w:jc w:val="left"/>
            </w:pPr>
            <w:r>
              <w:rPr>
                <w:sz w:val="20"/>
              </w:rPr>
              <w:t xml:space="preserve">ALB9, ML5 </w:t>
            </w:r>
          </w:p>
        </w:tc>
      </w:tr>
      <w:tr w:rsidR="000A5B37" w14:paraId="7CA52D4C" w14:textId="77777777">
        <w:trPr>
          <w:trHeight w:val="497"/>
        </w:trPr>
        <w:tc>
          <w:tcPr>
            <w:tcW w:w="0" w:type="auto"/>
            <w:vMerge/>
            <w:tcBorders>
              <w:top w:val="nil"/>
              <w:left w:val="single" w:sz="4" w:space="0" w:color="B4C6E7"/>
              <w:bottom w:val="nil"/>
              <w:right w:val="single" w:sz="4" w:space="0" w:color="B4C6E7"/>
            </w:tcBorders>
          </w:tcPr>
          <w:p w14:paraId="63D487BC"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6B6827D6" w14:textId="77777777" w:rsidR="000A5B37" w:rsidRDefault="00000000">
            <w:pPr>
              <w:spacing w:after="0" w:line="259" w:lineRule="auto"/>
              <w:ind w:left="1" w:right="0" w:firstLine="0"/>
              <w:jc w:val="left"/>
            </w:pPr>
            <w:r>
              <w:rPr>
                <w:sz w:val="20"/>
              </w:rPr>
              <w:t xml:space="preserve">CD27 </w:t>
            </w:r>
          </w:p>
        </w:tc>
        <w:tc>
          <w:tcPr>
            <w:tcW w:w="2974" w:type="dxa"/>
            <w:tcBorders>
              <w:top w:val="single" w:sz="4" w:space="0" w:color="B4C6E7"/>
              <w:left w:val="single" w:sz="4" w:space="0" w:color="B4C6E7"/>
              <w:bottom w:val="single" w:sz="4" w:space="0" w:color="B4C6E7"/>
              <w:right w:val="single" w:sz="4" w:space="0" w:color="B4C6E7"/>
            </w:tcBorders>
          </w:tcPr>
          <w:p w14:paraId="15CD3634" w14:textId="77777777" w:rsidR="000A5B37" w:rsidRDefault="00000000">
            <w:pPr>
              <w:spacing w:after="0" w:line="259" w:lineRule="auto"/>
              <w:ind w:left="0" w:right="0" w:firstLine="0"/>
              <w:jc w:val="left"/>
            </w:pPr>
            <w:r>
              <w:rPr>
                <w:sz w:val="20"/>
              </w:rPr>
              <w:t xml:space="preserve">M-T271, 1A4CD27, O323, L128 </w:t>
            </w:r>
          </w:p>
        </w:tc>
      </w:tr>
      <w:tr w:rsidR="000A5B37" w14:paraId="36486AFC" w14:textId="77777777">
        <w:trPr>
          <w:trHeight w:val="499"/>
        </w:trPr>
        <w:tc>
          <w:tcPr>
            <w:tcW w:w="0" w:type="auto"/>
            <w:vMerge/>
            <w:tcBorders>
              <w:top w:val="nil"/>
              <w:left w:val="single" w:sz="4" w:space="0" w:color="B4C6E7"/>
              <w:bottom w:val="nil"/>
              <w:right w:val="single" w:sz="4" w:space="0" w:color="B4C6E7"/>
            </w:tcBorders>
          </w:tcPr>
          <w:p w14:paraId="67C7B697"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73B4B3F7" w14:textId="77777777" w:rsidR="000A5B37" w:rsidRDefault="00000000">
            <w:pPr>
              <w:spacing w:after="0" w:line="259" w:lineRule="auto"/>
              <w:ind w:left="1" w:right="0" w:firstLine="0"/>
              <w:jc w:val="left"/>
            </w:pPr>
            <w:r>
              <w:rPr>
                <w:sz w:val="20"/>
              </w:rPr>
              <w:t xml:space="preserve">CD38 </w:t>
            </w:r>
          </w:p>
        </w:tc>
        <w:tc>
          <w:tcPr>
            <w:tcW w:w="2974" w:type="dxa"/>
            <w:tcBorders>
              <w:top w:val="single" w:sz="4" w:space="0" w:color="B4C6E7"/>
              <w:left w:val="single" w:sz="4" w:space="0" w:color="B4C6E7"/>
              <w:bottom w:val="single" w:sz="4" w:space="0" w:color="B4C6E7"/>
              <w:right w:val="single" w:sz="4" w:space="0" w:color="B4C6E7"/>
            </w:tcBorders>
          </w:tcPr>
          <w:p w14:paraId="76690742" w14:textId="77777777" w:rsidR="000A5B37" w:rsidRDefault="00000000">
            <w:pPr>
              <w:spacing w:after="0" w:line="259" w:lineRule="auto"/>
              <w:ind w:left="0" w:right="0" w:firstLine="0"/>
              <w:jc w:val="left"/>
            </w:pPr>
            <w:r>
              <w:rPr>
                <w:sz w:val="20"/>
              </w:rPr>
              <w:t xml:space="preserve">HB7, LS198-4-3, HIT2 </w:t>
            </w:r>
          </w:p>
        </w:tc>
      </w:tr>
      <w:tr w:rsidR="000A5B37" w14:paraId="730FC8CA" w14:textId="77777777">
        <w:trPr>
          <w:trHeight w:val="497"/>
        </w:trPr>
        <w:tc>
          <w:tcPr>
            <w:tcW w:w="0" w:type="auto"/>
            <w:vMerge/>
            <w:tcBorders>
              <w:top w:val="nil"/>
              <w:left w:val="single" w:sz="4" w:space="0" w:color="B4C6E7"/>
              <w:bottom w:val="nil"/>
              <w:right w:val="single" w:sz="4" w:space="0" w:color="B4C6E7"/>
            </w:tcBorders>
          </w:tcPr>
          <w:p w14:paraId="133D10B4"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28B683FC" w14:textId="77777777" w:rsidR="000A5B37" w:rsidRDefault="00000000">
            <w:pPr>
              <w:spacing w:after="0" w:line="259" w:lineRule="auto"/>
              <w:ind w:left="1" w:right="0" w:firstLine="0"/>
              <w:jc w:val="left"/>
            </w:pPr>
            <w:r>
              <w:rPr>
                <w:sz w:val="20"/>
              </w:rPr>
              <w:t xml:space="preserve">CD45 </w:t>
            </w:r>
          </w:p>
        </w:tc>
        <w:tc>
          <w:tcPr>
            <w:tcW w:w="2974" w:type="dxa"/>
            <w:tcBorders>
              <w:top w:val="single" w:sz="4" w:space="0" w:color="B4C6E7"/>
              <w:left w:val="single" w:sz="4" w:space="0" w:color="B4C6E7"/>
              <w:bottom w:val="single" w:sz="4" w:space="0" w:color="B4C6E7"/>
              <w:right w:val="single" w:sz="4" w:space="0" w:color="B4C6E7"/>
            </w:tcBorders>
          </w:tcPr>
          <w:p w14:paraId="7CF23608" w14:textId="77777777" w:rsidR="000A5B37" w:rsidRDefault="00000000">
            <w:pPr>
              <w:spacing w:after="0" w:line="259" w:lineRule="auto"/>
              <w:ind w:left="0" w:right="0" w:firstLine="0"/>
              <w:jc w:val="left"/>
            </w:pPr>
            <w:r>
              <w:rPr>
                <w:sz w:val="20"/>
              </w:rPr>
              <w:t xml:space="preserve">J33, HI30, 2D1 </w:t>
            </w:r>
          </w:p>
        </w:tc>
      </w:tr>
      <w:tr w:rsidR="000A5B37" w14:paraId="4D69527D" w14:textId="77777777">
        <w:trPr>
          <w:trHeight w:val="499"/>
        </w:trPr>
        <w:tc>
          <w:tcPr>
            <w:tcW w:w="0" w:type="auto"/>
            <w:vMerge/>
            <w:tcBorders>
              <w:top w:val="nil"/>
              <w:left w:val="single" w:sz="4" w:space="0" w:color="B4C6E7"/>
              <w:bottom w:val="nil"/>
              <w:right w:val="single" w:sz="4" w:space="0" w:color="B4C6E7"/>
            </w:tcBorders>
          </w:tcPr>
          <w:p w14:paraId="3F96DF33"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19FD7E12" w14:textId="77777777" w:rsidR="000A5B37" w:rsidRDefault="00000000">
            <w:pPr>
              <w:spacing w:after="0" w:line="259" w:lineRule="auto"/>
              <w:ind w:left="1" w:right="0" w:firstLine="0"/>
              <w:jc w:val="left"/>
            </w:pPr>
            <w:r>
              <w:rPr>
                <w:sz w:val="20"/>
              </w:rPr>
              <w:t xml:space="preserve">IgD </w:t>
            </w:r>
          </w:p>
        </w:tc>
        <w:tc>
          <w:tcPr>
            <w:tcW w:w="2974" w:type="dxa"/>
            <w:tcBorders>
              <w:top w:val="single" w:sz="4" w:space="0" w:color="B4C6E7"/>
              <w:left w:val="single" w:sz="4" w:space="0" w:color="B4C6E7"/>
              <w:bottom w:val="single" w:sz="4" w:space="0" w:color="B4C6E7"/>
              <w:right w:val="single" w:sz="4" w:space="0" w:color="B4C6E7"/>
            </w:tcBorders>
          </w:tcPr>
          <w:p w14:paraId="2CDA4A83" w14:textId="77777777" w:rsidR="000A5B37" w:rsidRDefault="00000000">
            <w:pPr>
              <w:spacing w:after="0" w:line="259" w:lineRule="auto"/>
              <w:ind w:left="0" w:right="0" w:firstLine="0"/>
              <w:jc w:val="left"/>
            </w:pPr>
            <w:r>
              <w:rPr>
                <w:sz w:val="20"/>
              </w:rPr>
              <w:t xml:space="preserve">IA6-2 </w:t>
            </w:r>
          </w:p>
        </w:tc>
      </w:tr>
      <w:tr w:rsidR="000A5B37" w14:paraId="24F603A2" w14:textId="77777777">
        <w:trPr>
          <w:trHeight w:val="497"/>
        </w:trPr>
        <w:tc>
          <w:tcPr>
            <w:tcW w:w="0" w:type="auto"/>
            <w:vMerge/>
            <w:tcBorders>
              <w:top w:val="nil"/>
              <w:left w:val="single" w:sz="4" w:space="0" w:color="B4C6E7"/>
              <w:bottom w:val="single" w:sz="4" w:space="0" w:color="B4C6E7"/>
              <w:right w:val="single" w:sz="4" w:space="0" w:color="B4C6E7"/>
            </w:tcBorders>
          </w:tcPr>
          <w:p w14:paraId="5C8E6983"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5E72BA34" w14:textId="77777777" w:rsidR="000A5B37" w:rsidRDefault="00000000">
            <w:pPr>
              <w:spacing w:after="0" w:line="259" w:lineRule="auto"/>
              <w:ind w:left="1" w:right="0" w:firstLine="0"/>
              <w:jc w:val="left"/>
            </w:pPr>
            <w:r>
              <w:rPr>
                <w:sz w:val="20"/>
              </w:rPr>
              <w:t xml:space="preserve">IgM </w:t>
            </w:r>
          </w:p>
        </w:tc>
        <w:tc>
          <w:tcPr>
            <w:tcW w:w="2974" w:type="dxa"/>
            <w:tcBorders>
              <w:top w:val="single" w:sz="4" w:space="0" w:color="B4C6E7"/>
              <w:left w:val="single" w:sz="4" w:space="0" w:color="B4C6E7"/>
              <w:bottom w:val="single" w:sz="4" w:space="0" w:color="B4C6E7"/>
              <w:right w:val="single" w:sz="4" w:space="0" w:color="B4C6E7"/>
            </w:tcBorders>
          </w:tcPr>
          <w:p w14:paraId="725E4124" w14:textId="77777777" w:rsidR="000A5B37" w:rsidRDefault="00000000">
            <w:pPr>
              <w:spacing w:after="0" w:line="259" w:lineRule="auto"/>
              <w:ind w:left="0" w:right="0" w:firstLine="0"/>
              <w:jc w:val="left"/>
            </w:pPr>
            <w:r>
              <w:rPr>
                <w:sz w:val="20"/>
              </w:rPr>
              <w:t xml:space="preserve">MHM-88, SA-DA4, G20-127 </w:t>
            </w:r>
          </w:p>
        </w:tc>
      </w:tr>
      <w:tr w:rsidR="000A5B37" w14:paraId="6FB29852" w14:textId="77777777">
        <w:trPr>
          <w:trHeight w:val="499"/>
        </w:trPr>
        <w:tc>
          <w:tcPr>
            <w:tcW w:w="2206" w:type="dxa"/>
            <w:vMerge w:val="restart"/>
            <w:tcBorders>
              <w:top w:val="single" w:sz="4" w:space="0" w:color="B4C6E7"/>
              <w:left w:val="single" w:sz="4" w:space="0" w:color="B4C6E7"/>
              <w:bottom w:val="single" w:sz="4" w:space="0" w:color="B4C6E7"/>
              <w:right w:val="single" w:sz="4" w:space="0" w:color="B4C6E7"/>
            </w:tcBorders>
          </w:tcPr>
          <w:p w14:paraId="0CF61394" w14:textId="77777777" w:rsidR="000A5B37" w:rsidRDefault="00000000">
            <w:pPr>
              <w:spacing w:after="0" w:line="259" w:lineRule="auto"/>
              <w:ind w:left="1" w:right="0" w:firstLine="0"/>
              <w:jc w:val="left"/>
            </w:pPr>
            <w:r>
              <w:rPr>
                <w:b/>
                <w:sz w:val="20"/>
              </w:rPr>
              <w:t xml:space="preserve">Aanvullend (optioneel)  </w:t>
            </w:r>
          </w:p>
        </w:tc>
        <w:tc>
          <w:tcPr>
            <w:tcW w:w="1617" w:type="dxa"/>
            <w:tcBorders>
              <w:top w:val="single" w:sz="4" w:space="0" w:color="B4C6E7"/>
              <w:left w:val="single" w:sz="4" w:space="0" w:color="B4C6E7"/>
              <w:bottom w:val="single" w:sz="4" w:space="0" w:color="B4C6E7"/>
              <w:right w:val="single" w:sz="4" w:space="0" w:color="B4C6E7"/>
            </w:tcBorders>
          </w:tcPr>
          <w:p w14:paraId="5759D14E" w14:textId="77777777" w:rsidR="000A5B37" w:rsidRDefault="00000000">
            <w:pPr>
              <w:spacing w:after="0" w:line="259" w:lineRule="auto"/>
              <w:ind w:left="1" w:right="0" w:firstLine="0"/>
              <w:jc w:val="left"/>
            </w:pPr>
            <w:r>
              <w:rPr>
                <w:sz w:val="20"/>
              </w:rPr>
              <w:t xml:space="preserve">CD3 </w:t>
            </w:r>
          </w:p>
        </w:tc>
        <w:tc>
          <w:tcPr>
            <w:tcW w:w="2974" w:type="dxa"/>
            <w:tcBorders>
              <w:top w:val="single" w:sz="4" w:space="0" w:color="B4C6E7"/>
              <w:left w:val="single" w:sz="4" w:space="0" w:color="B4C6E7"/>
              <w:bottom w:val="single" w:sz="4" w:space="0" w:color="B4C6E7"/>
              <w:right w:val="single" w:sz="4" w:space="0" w:color="B4C6E7"/>
            </w:tcBorders>
          </w:tcPr>
          <w:p w14:paraId="2BBF948C" w14:textId="77777777" w:rsidR="000A5B37" w:rsidRDefault="00000000">
            <w:pPr>
              <w:spacing w:after="0" w:line="259" w:lineRule="auto"/>
              <w:ind w:left="0" w:right="0" w:firstLine="0"/>
              <w:jc w:val="left"/>
            </w:pPr>
            <w:r>
              <w:rPr>
                <w:sz w:val="20"/>
              </w:rPr>
              <w:t xml:space="preserve">SK7, UCHT1 </w:t>
            </w:r>
          </w:p>
        </w:tc>
      </w:tr>
      <w:tr w:rsidR="000A5B37" w14:paraId="319532E2" w14:textId="77777777">
        <w:trPr>
          <w:trHeight w:val="497"/>
        </w:trPr>
        <w:tc>
          <w:tcPr>
            <w:tcW w:w="0" w:type="auto"/>
            <w:vMerge/>
            <w:tcBorders>
              <w:top w:val="nil"/>
              <w:left w:val="single" w:sz="4" w:space="0" w:color="B4C6E7"/>
              <w:bottom w:val="nil"/>
              <w:right w:val="single" w:sz="4" w:space="0" w:color="B4C6E7"/>
            </w:tcBorders>
          </w:tcPr>
          <w:p w14:paraId="318A7D59"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28F7870A" w14:textId="77777777" w:rsidR="000A5B37" w:rsidRDefault="00000000">
            <w:pPr>
              <w:spacing w:after="0" w:line="259" w:lineRule="auto"/>
              <w:ind w:left="1" w:right="0" w:firstLine="0"/>
              <w:jc w:val="left"/>
            </w:pPr>
            <w:r>
              <w:rPr>
                <w:sz w:val="20"/>
              </w:rPr>
              <w:t xml:space="preserve">CD5 </w:t>
            </w:r>
          </w:p>
        </w:tc>
        <w:tc>
          <w:tcPr>
            <w:tcW w:w="2974" w:type="dxa"/>
            <w:tcBorders>
              <w:top w:val="single" w:sz="4" w:space="0" w:color="B4C6E7"/>
              <w:left w:val="single" w:sz="4" w:space="0" w:color="B4C6E7"/>
              <w:bottom w:val="single" w:sz="4" w:space="0" w:color="B4C6E7"/>
              <w:right w:val="single" w:sz="4" w:space="0" w:color="B4C6E7"/>
            </w:tcBorders>
          </w:tcPr>
          <w:p w14:paraId="3B045DF4" w14:textId="77777777" w:rsidR="000A5B37" w:rsidRDefault="00000000">
            <w:pPr>
              <w:spacing w:after="0" w:line="259" w:lineRule="auto"/>
              <w:ind w:left="0" w:right="0" w:firstLine="0"/>
              <w:jc w:val="left"/>
            </w:pPr>
            <w:r>
              <w:rPr>
                <w:sz w:val="20"/>
              </w:rPr>
              <w:t xml:space="preserve">UCHT-2, BL1a, L17F12 </w:t>
            </w:r>
          </w:p>
        </w:tc>
      </w:tr>
      <w:tr w:rsidR="000A5B37" w14:paraId="22B3182A" w14:textId="77777777">
        <w:trPr>
          <w:trHeight w:val="499"/>
        </w:trPr>
        <w:tc>
          <w:tcPr>
            <w:tcW w:w="0" w:type="auto"/>
            <w:vMerge/>
            <w:tcBorders>
              <w:top w:val="nil"/>
              <w:left w:val="single" w:sz="4" w:space="0" w:color="B4C6E7"/>
              <w:bottom w:val="nil"/>
              <w:right w:val="single" w:sz="4" w:space="0" w:color="B4C6E7"/>
            </w:tcBorders>
          </w:tcPr>
          <w:p w14:paraId="43CDC864"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488D7853" w14:textId="77777777" w:rsidR="000A5B37" w:rsidRDefault="00000000">
            <w:pPr>
              <w:spacing w:after="0" w:line="259" w:lineRule="auto"/>
              <w:ind w:left="1" w:right="0" w:firstLine="0"/>
              <w:jc w:val="left"/>
            </w:pPr>
            <w:r>
              <w:rPr>
                <w:sz w:val="20"/>
              </w:rPr>
              <w:t xml:space="preserve">CD10 </w:t>
            </w:r>
          </w:p>
        </w:tc>
        <w:tc>
          <w:tcPr>
            <w:tcW w:w="2974" w:type="dxa"/>
            <w:tcBorders>
              <w:top w:val="single" w:sz="4" w:space="0" w:color="B4C6E7"/>
              <w:left w:val="single" w:sz="4" w:space="0" w:color="B4C6E7"/>
              <w:bottom w:val="single" w:sz="4" w:space="0" w:color="B4C6E7"/>
              <w:right w:val="single" w:sz="4" w:space="0" w:color="B4C6E7"/>
            </w:tcBorders>
          </w:tcPr>
          <w:p w14:paraId="764DD361" w14:textId="77777777" w:rsidR="000A5B37" w:rsidRDefault="00000000">
            <w:pPr>
              <w:spacing w:after="0" w:line="259" w:lineRule="auto"/>
              <w:ind w:left="0" w:right="0" w:firstLine="0"/>
              <w:jc w:val="left"/>
            </w:pPr>
            <w:r>
              <w:rPr>
                <w:sz w:val="20"/>
              </w:rPr>
              <w:t xml:space="preserve">ALB1, HI10a </w:t>
            </w:r>
          </w:p>
        </w:tc>
      </w:tr>
      <w:tr w:rsidR="000A5B37" w14:paraId="0B780E9A" w14:textId="77777777">
        <w:trPr>
          <w:trHeight w:val="497"/>
        </w:trPr>
        <w:tc>
          <w:tcPr>
            <w:tcW w:w="0" w:type="auto"/>
            <w:vMerge/>
            <w:tcBorders>
              <w:top w:val="nil"/>
              <w:left w:val="single" w:sz="4" w:space="0" w:color="B4C6E7"/>
              <w:bottom w:val="nil"/>
              <w:right w:val="single" w:sz="4" w:space="0" w:color="B4C6E7"/>
            </w:tcBorders>
          </w:tcPr>
          <w:p w14:paraId="4BB2DAB3"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277CDDE5" w14:textId="77777777" w:rsidR="000A5B37" w:rsidRDefault="00000000">
            <w:pPr>
              <w:spacing w:after="0" w:line="259" w:lineRule="auto"/>
              <w:ind w:left="1" w:right="0" w:firstLine="0"/>
              <w:jc w:val="left"/>
            </w:pPr>
            <w:r>
              <w:rPr>
                <w:sz w:val="20"/>
              </w:rPr>
              <w:t xml:space="preserve">CD21 </w:t>
            </w:r>
          </w:p>
        </w:tc>
        <w:tc>
          <w:tcPr>
            <w:tcW w:w="2974" w:type="dxa"/>
            <w:tcBorders>
              <w:top w:val="single" w:sz="4" w:space="0" w:color="B4C6E7"/>
              <w:left w:val="single" w:sz="4" w:space="0" w:color="B4C6E7"/>
              <w:bottom w:val="single" w:sz="4" w:space="0" w:color="B4C6E7"/>
              <w:right w:val="single" w:sz="4" w:space="0" w:color="B4C6E7"/>
            </w:tcBorders>
          </w:tcPr>
          <w:p w14:paraId="7C595E00" w14:textId="77777777" w:rsidR="000A5B37" w:rsidRDefault="00000000">
            <w:pPr>
              <w:spacing w:after="0" w:line="259" w:lineRule="auto"/>
              <w:ind w:left="0" w:right="0" w:firstLine="0"/>
              <w:jc w:val="left"/>
            </w:pPr>
            <w:r>
              <w:rPr>
                <w:sz w:val="20"/>
              </w:rPr>
              <w:t xml:space="preserve">B-ly4, BL13, Bu32 </w:t>
            </w:r>
          </w:p>
        </w:tc>
      </w:tr>
      <w:tr w:rsidR="000A5B37" w14:paraId="6D6169EA" w14:textId="77777777">
        <w:trPr>
          <w:trHeight w:val="499"/>
        </w:trPr>
        <w:tc>
          <w:tcPr>
            <w:tcW w:w="0" w:type="auto"/>
            <w:vMerge/>
            <w:tcBorders>
              <w:top w:val="nil"/>
              <w:left w:val="single" w:sz="4" w:space="0" w:color="B4C6E7"/>
              <w:bottom w:val="nil"/>
              <w:right w:val="single" w:sz="4" w:space="0" w:color="B4C6E7"/>
            </w:tcBorders>
          </w:tcPr>
          <w:p w14:paraId="17D4F34E"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5F86A424" w14:textId="77777777" w:rsidR="000A5B37" w:rsidRDefault="00000000">
            <w:pPr>
              <w:spacing w:after="0" w:line="259" w:lineRule="auto"/>
              <w:ind w:left="1" w:right="0" w:firstLine="0"/>
              <w:jc w:val="left"/>
            </w:pPr>
            <w:r>
              <w:rPr>
                <w:sz w:val="20"/>
              </w:rPr>
              <w:t xml:space="preserve">IgA </w:t>
            </w:r>
          </w:p>
        </w:tc>
        <w:tc>
          <w:tcPr>
            <w:tcW w:w="2974" w:type="dxa"/>
            <w:tcBorders>
              <w:top w:val="single" w:sz="4" w:space="0" w:color="B4C6E7"/>
              <w:left w:val="single" w:sz="4" w:space="0" w:color="B4C6E7"/>
              <w:bottom w:val="single" w:sz="4" w:space="0" w:color="B4C6E7"/>
              <w:right w:val="single" w:sz="4" w:space="0" w:color="B4C6E7"/>
            </w:tcBorders>
          </w:tcPr>
          <w:p w14:paraId="4B53EABE" w14:textId="77777777" w:rsidR="000A5B37" w:rsidRDefault="00000000">
            <w:pPr>
              <w:spacing w:after="0" w:line="259" w:lineRule="auto"/>
              <w:ind w:left="0" w:right="0" w:firstLine="0"/>
              <w:jc w:val="left"/>
            </w:pPr>
            <w:r>
              <w:rPr>
                <w:sz w:val="20"/>
              </w:rPr>
              <w:t xml:space="preserve">IS11-8E10,polyklonaal </w:t>
            </w:r>
          </w:p>
        </w:tc>
      </w:tr>
      <w:tr w:rsidR="000A5B37" w14:paraId="0CE252B5" w14:textId="77777777">
        <w:trPr>
          <w:trHeight w:val="497"/>
        </w:trPr>
        <w:tc>
          <w:tcPr>
            <w:tcW w:w="0" w:type="auto"/>
            <w:vMerge/>
            <w:tcBorders>
              <w:top w:val="nil"/>
              <w:left w:val="single" w:sz="4" w:space="0" w:color="B4C6E7"/>
              <w:bottom w:val="nil"/>
              <w:right w:val="single" w:sz="4" w:space="0" w:color="B4C6E7"/>
            </w:tcBorders>
          </w:tcPr>
          <w:p w14:paraId="4D292F9E"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401492BF" w14:textId="77777777" w:rsidR="000A5B37" w:rsidRDefault="00000000">
            <w:pPr>
              <w:spacing w:after="0" w:line="259" w:lineRule="auto"/>
              <w:ind w:left="1" w:right="0" w:firstLine="0"/>
              <w:jc w:val="left"/>
            </w:pPr>
            <w:r>
              <w:rPr>
                <w:sz w:val="20"/>
              </w:rPr>
              <w:t xml:space="preserve">IgE </w:t>
            </w:r>
          </w:p>
        </w:tc>
        <w:tc>
          <w:tcPr>
            <w:tcW w:w="2974" w:type="dxa"/>
            <w:tcBorders>
              <w:top w:val="single" w:sz="4" w:space="0" w:color="B4C6E7"/>
              <w:left w:val="single" w:sz="4" w:space="0" w:color="B4C6E7"/>
              <w:bottom w:val="single" w:sz="4" w:space="0" w:color="B4C6E7"/>
              <w:right w:val="single" w:sz="4" w:space="0" w:color="B4C6E7"/>
            </w:tcBorders>
          </w:tcPr>
          <w:p w14:paraId="704E74C3" w14:textId="77777777" w:rsidR="000A5B37" w:rsidRDefault="00000000">
            <w:pPr>
              <w:spacing w:after="0" w:line="259" w:lineRule="auto"/>
              <w:ind w:left="0" w:right="0" w:firstLine="0"/>
              <w:jc w:val="left"/>
            </w:pPr>
            <w:r>
              <w:rPr>
                <w:sz w:val="20"/>
              </w:rPr>
              <w:t xml:space="preserve">Polyklonaal, IgE21 </w:t>
            </w:r>
          </w:p>
        </w:tc>
      </w:tr>
      <w:tr w:rsidR="000A5B37" w14:paraId="5809E8F5" w14:textId="77777777">
        <w:trPr>
          <w:trHeight w:val="499"/>
        </w:trPr>
        <w:tc>
          <w:tcPr>
            <w:tcW w:w="0" w:type="auto"/>
            <w:vMerge/>
            <w:tcBorders>
              <w:top w:val="nil"/>
              <w:left w:val="single" w:sz="4" w:space="0" w:color="B4C6E7"/>
              <w:bottom w:val="single" w:sz="4" w:space="0" w:color="B4C6E7"/>
              <w:right w:val="single" w:sz="4" w:space="0" w:color="B4C6E7"/>
            </w:tcBorders>
          </w:tcPr>
          <w:p w14:paraId="618B9297" w14:textId="77777777" w:rsidR="000A5B37" w:rsidRDefault="000A5B37">
            <w:pPr>
              <w:spacing w:after="160" w:line="259" w:lineRule="auto"/>
              <w:ind w:left="0" w:right="0" w:firstLine="0"/>
              <w:jc w:val="left"/>
            </w:pPr>
          </w:p>
        </w:tc>
        <w:tc>
          <w:tcPr>
            <w:tcW w:w="1617" w:type="dxa"/>
            <w:tcBorders>
              <w:top w:val="single" w:sz="4" w:space="0" w:color="B4C6E7"/>
              <w:left w:val="single" w:sz="4" w:space="0" w:color="B4C6E7"/>
              <w:bottom w:val="single" w:sz="4" w:space="0" w:color="B4C6E7"/>
              <w:right w:val="single" w:sz="4" w:space="0" w:color="B4C6E7"/>
            </w:tcBorders>
          </w:tcPr>
          <w:p w14:paraId="42838478" w14:textId="77777777" w:rsidR="000A5B37" w:rsidRDefault="00000000">
            <w:pPr>
              <w:spacing w:after="0" w:line="259" w:lineRule="auto"/>
              <w:ind w:left="1" w:right="0" w:firstLine="0"/>
              <w:jc w:val="left"/>
            </w:pPr>
            <w:r>
              <w:rPr>
                <w:sz w:val="20"/>
              </w:rPr>
              <w:t xml:space="preserve">IgG </w:t>
            </w:r>
          </w:p>
        </w:tc>
        <w:tc>
          <w:tcPr>
            <w:tcW w:w="2974" w:type="dxa"/>
            <w:tcBorders>
              <w:top w:val="single" w:sz="4" w:space="0" w:color="B4C6E7"/>
              <w:left w:val="single" w:sz="4" w:space="0" w:color="B4C6E7"/>
              <w:bottom w:val="single" w:sz="4" w:space="0" w:color="B4C6E7"/>
              <w:right w:val="single" w:sz="4" w:space="0" w:color="B4C6E7"/>
            </w:tcBorders>
          </w:tcPr>
          <w:p w14:paraId="4A7DD2B9" w14:textId="77777777" w:rsidR="000A5B37" w:rsidRDefault="00000000">
            <w:pPr>
              <w:spacing w:after="0" w:line="259" w:lineRule="auto"/>
              <w:ind w:left="0" w:right="0" w:firstLine="0"/>
              <w:jc w:val="left"/>
            </w:pPr>
            <w:r>
              <w:rPr>
                <w:sz w:val="20"/>
              </w:rPr>
              <w:t xml:space="preserve">G18-145, polyklonaal </w:t>
            </w:r>
          </w:p>
        </w:tc>
      </w:tr>
    </w:tbl>
    <w:p w14:paraId="0F3AF279" w14:textId="77777777" w:rsidR="000A5B37" w:rsidRDefault="00000000">
      <w:pPr>
        <w:numPr>
          <w:ilvl w:val="0"/>
          <w:numId w:val="1"/>
        </w:numPr>
        <w:spacing w:after="10" w:line="248" w:lineRule="auto"/>
        <w:ind w:right="0" w:hanging="116"/>
      </w:pPr>
      <w:r>
        <w:rPr>
          <w:sz w:val="16"/>
        </w:rPr>
        <w:t xml:space="preserve">Voor deze markers geldt: CD19 </w:t>
      </w:r>
      <w:r>
        <w:rPr>
          <w:rFonts w:cs="Calibri"/>
          <w:i/>
          <w:sz w:val="16"/>
        </w:rPr>
        <w:t>of</w:t>
      </w:r>
      <w:r>
        <w:rPr>
          <w:sz w:val="16"/>
        </w:rPr>
        <w:t xml:space="preserve"> CD20 </w:t>
      </w:r>
    </w:p>
    <w:p w14:paraId="6374BBE9" w14:textId="77777777" w:rsidR="000A5B37" w:rsidRDefault="00000000">
      <w:pPr>
        <w:ind w:left="-5" w:right="0"/>
      </w:pPr>
      <w:r>
        <w:t xml:space="preserve">Tabel 4. T-cel subset analyse </w:t>
      </w:r>
    </w:p>
    <w:tbl>
      <w:tblPr>
        <w:tblStyle w:val="TableGrid"/>
        <w:tblW w:w="6797" w:type="dxa"/>
        <w:tblInd w:w="7" w:type="dxa"/>
        <w:tblCellMar>
          <w:top w:w="47" w:type="dxa"/>
          <w:left w:w="107" w:type="dxa"/>
          <w:bottom w:w="0" w:type="dxa"/>
          <w:right w:w="25" w:type="dxa"/>
        </w:tblCellMar>
        <w:tblLook w:val="04A0" w:firstRow="1" w:lastRow="0" w:firstColumn="1" w:lastColumn="0" w:noHBand="0" w:noVBand="1"/>
      </w:tblPr>
      <w:tblGrid>
        <w:gridCol w:w="2134"/>
        <w:gridCol w:w="2114"/>
        <w:gridCol w:w="2549"/>
      </w:tblGrid>
      <w:tr w:rsidR="000A5B37" w14:paraId="2182B6FA" w14:textId="77777777">
        <w:trPr>
          <w:trHeight w:val="399"/>
        </w:trPr>
        <w:tc>
          <w:tcPr>
            <w:tcW w:w="2134" w:type="dxa"/>
            <w:tcBorders>
              <w:top w:val="single" w:sz="4" w:space="0" w:color="B4C6E7"/>
              <w:left w:val="single" w:sz="4" w:space="0" w:color="B4C6E7"/>
              <w:bottom w:val="single" w:sz="12" w:space="0" w:color="8EAADB"/>
              <w:right w:val="single" w:sz="4" w:space="0" w:color="B4C6E7"/>
            </w:tcBorders>
            <w:shd w:val="clear" w:color="auto" w:fill="F2F2F2"/>
          </w:tcPr>
          <w:p w14:paraId="1059BD14" w14:textId="77777777" w:rsidR="000A5B37" w:rsidRDefault="00000000">
            <w:pPr>
              <w:spacing w:after="0" w:line="259" w:lineRule="auto"/>
              <w:ind w:left="1" w:right="0" w:firstLine="0"/>
              <w:jc w:val="left"/>
            </w:pPr>
            <w:r>
              <w:rPr>
                <w:b/>
                <w:sz w:val="20"/>
              </w:rPr>
              <w:t xml:space="preserve"> </w:t>
            </w:r>
          </w:p>
        </w:tc>
        <w:tc>
          <w:tcPr>
            <w:tcW w:w="2114" w:type="dxa"/>
            <w:tcBorders>
              <w:top w:val="single" w:sz="4" w:space="0" w:color="B4C6E7"/>
              <w:left w:val="single" w:sz="4" w:space="0" w:color="B4C6E7"/>
              <w:bottom w:val="single" w:sz="12" w:space="0" w:color="8EAADB"/>
              <w:right w:val="single" w:sz="4" w:space="0" w:color="B4C6E7"/>
            </w:tcBorders>
            <w:shd w:val="clear" w:color="auto" w:fill="F2F2F2"/>
          </w:tcPr>
          <w:p w14:paraId="5DB75D2A" w14:textId="77777777" w:rsidR="000A5B37" w:rsidRDefault="00000000">
            <w:pPr>
              <w:spacing w:after="0" w:line="259" w:lineRule="auto"/>
              <w:ind w:left="1" w:right="0" w:firstLine="0"/>
              <w:jc w:val="left"/>
            </w:pPr>
            <w:r>
              <w:rPr>
                <w:b/>
                <w:sz w:val="20"/>
              </w:rPr>
              <w:t xml:space="preserve">Marker </w:t>
            </w:r>
          </w:p>
        </w:tc>
        <w:tc>
          <w:tcPr>
            <w:tcW w:w="2549" w:type="dxa"/>
            <w:tcBorders>
              <w:top w:val="single" w:sz="4" w:space="0" w:color="B4C6E7"/>
              <w:left w:val="single" w:sz="4" w:space="0" w:color="B4C6E7"/>
              <w:bottom w:val="single" w:sz="12" w:space="0" w:color="8EAADB"/>
              <w:right w:val="single" w:sz="4" w:space="0" w:color="B4C6E7"/>
            </w:tcBorders>
            <w:shd w:val="clear" w:color="auto" w:fill="F2F2F2"/>
          </w:tcPr>
          <w:p w14:paraId="5E7DF73D" w14:textId="77777777" w:rsidR="000A5B37" w:rsidRDefault="00000000">
            <w:pPr>
              <w:spacing w:after="0" w:line="259" w:lineRule="auto"/>
              <w:ind w:left="0" w:right="0" w:firstLine="0"/>
              <w:jc w:val="left"/>
            </w:pPr>
            <w:r>
              <w:rPr>
                <w:b/>
                <w:sz w:val="20"/>
              </w:rPr>
              <w:t xml:space="preserve">Kloon </w:t>
            </w:r>
          </w:p>
        </w:tc>
      </w:tr>
      <w:tr w:rsidR="000A5B37" w14:paraId="0185A0BD" w14:textId="77777777">
        <w:trPr>
          <w:trHeight w:val="512"/>
        </w:trPr>
        <w:tc>
          <w:tcPr>
            <w:tcW w:w="2134" w:type="dxa"/>
            <w:vMerge w:val="restart"/>
            <w:tcBorders>
              <w:top w:val="single" w:sz="12" w:space="0" w:color="8EAADB"/>
              <w:left w:val="single" w:sz="4" w:space="0" w:color="B4C6E7"/>
              <w:bottom w:val="single" w:sz="4" w:space="0" w:color="B4C6E7"/>
              <w:right w:val="single" w:sz="4" w:space="0" w:color="B4C6E7"/>
            </w:tcBorders>
          </w:tcPr>
          <w:p w14:paraId="2EB26A2A" w14:textId="77777777" w:rsidR="000A5B37" w:rsidRDefault="00000000">
            <w:pPr>
              <w:spacing w:after="0" w:line="259" w:lineRule="auto"/>
              <w:ind w:left="1" w:right="0" w:firstLine="0"/>
              <w:jc w:val="left"/>
            </w:pPr>
            <w:r>
              <w:rPr>
                <w:b/>
                <w:sz w:val="20"/>
              </w:rPr>
              <w:t xml:space="preserve">Basis </w:t>
            </w:r>
          </w:p>
        </w:tc>
        <w:tc>
          <w:tcPr>
            <w:tcW w:w="2114" w:type="dxa"/>
            <w:tcBorders>
              <w:top w:val="single" w:sz="12" w:space="0" w:color="8EAADB"/>
              <w:left w:val="single" w:sz="4" w:space="0" w:color="B4C6E7"/>
              <w:bottom w:val="single" w:sz="4" w:space="0" w:color="B4C6E7"/>
              <w:right w:val="single" w:sz="4" w:space="0" w:color="B4C6E7"/>
            </w:tcBorders>
          </w:tcPr>
          <w:p w14:paraId="0D9FA2D4" w14:textId="77777777" w:rsidR="000A5B37" w:rsidRDefault="00000000">
            <w:pPr>
              <w:spacing w:after="0" w:line="259" w:lineRule="auto"/>
              <w:ind w:left="1" w:right="0" w:firstLine="0"/>
              <w:jc w:val="left"/>
            </w:pPr>
            <w:r>
              <w:rPr>
                <w:sz w:val="20"/>
              </w:rPr>
              <w:t xml:space="preserve">CD3 </w:t>
            </w:r>
          </w:p>
        </w:tc>
        <w:tc>
          <w:tcPr>
            <w:tcW w:w="2549" w:type="dxa"/>
            <w:tcBorders>
              <w:top w:val="single" w:sz="12" w:space="0" w:color="8EAADB"/>
              <w:left w:val="single" w:sz="4" w:space="0" w:color="B4C6E7"/>
              <w:bottom w:val="single" w:sz="4" w:space="0" w:color="B4C6E7"/>
              <w:right w:val="single" w:sz="4" w:space="0" w:color="B4C6E7"/>
            </w:tcBorders>
          </w:tcPr>
          <w:p w14:paraId="40366320" w14:textId="77777777" w:rsidR="000A5B37" w:rsidRDefault="00000000">
            <w:pPr>
              <w:spacing w:after="0" w:line="259" w:lineRule="auto"/>
              <w:ind w:left="0" w:right="0" w:firstLine="0"/>
              <w:jc w:val="left"/>
            </w:pPr>
            <w:r>
              <w:rPr>
                <w:sz w:val="20"/>
              </w:rPr>
              <w:t xml:space="preserve">SK7, UCHT1 </w:t>
            </w:r>
          </w:p>
        </w:tc>
      </w:tr>
      <w:tr w:rsidR="000A5B37" w14:paraId="69F7CC00" w14:textId="77777777">
        <w:trPr>
          <w:trHeight w:val="538"/>
        </w:trPr>
        <w:tc>
          <w:tcPr>
            <w:tcW w:w="0" w:type="auto"/>
            <w:vMerge/>
            <w:tcBorders>
              <w:top w:val="nil"/>
              <w:left w:val="single" w:sz="4" w:space="0" w:color="B4C6E7"/>
              <w:bottom w:val="nil"/>
              <w:right w:val="single" w:sz="4" w:space="0" w:color="B4C6E7"/>
            </w:tcBorders>
          </w:tcPr>
          <w:p w14:paraId="7E742B87"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49B6D513" w14:textId="77777777" w:rsidR="000A5B37" w:rsidRDefault="00000000">
            <w:pPr>
              <w:spacing w:after="0" w:line="259" w:lineRule="auto"/>
              <w:ind w:left="1" w:right="0" w:firstLine="0"/>
              <w:jc w:val="left"/>
            </w:pPr>
            <w:r>
              <w:rPr>
                <w:sz w:val="20"/>
              </w:rPr>
              <w:t xml:space="preserve">CD4 </w:t>
            </w:r>
          </w:p>
        </w:tc>
        <w:tc>
          <w:tcPr>
            <w:tcW w:w="2549" w:type="dxa"/>
            <w:tcBorders>
              <w:top w:val="single" w:sz="4" w:space="0" w:color="B4C6E7"/>
              <w:left w:val="single" w:sz="4" w:space="0" w:color="B4C6E7"/>
              <w:bottom w:val="single" w:sz="4" w:space="0" w:color="B4C6E7"/>
              <w:right w:val="single" w:sz="4" w:space="0" w:color="B4C6E7"/>
            </w:tcBorders>
          </w:tcPr>
          <w:p w14:paraId="06192906" w14:textId="77777777" w:rsidR="000A5B37" w:rsidRDefault="00000000">
            <w:pPr>
              <w:spacing w:after="1" w:line="259" w:lineRule="auto"/>
              <w:ind w:left="0" w:right="0" w:firstLine="0"/>
              <w:jc w:val="left"/>
            </w:pPr>
            <w:r>
              <w:rPr>
                <w:sz w:val="20"/>
              </w:rPr>
              <w:t xml:space="preserve">OKT4, 13B8.2,  </w:t>
            </w:r>
          </w:p>
          <w:p w14:paraId="0E478CF8" w14:textId="77777777" w:rsidR="000A5B37" w:rsidRDefault="00000000">
            <w:pPr>
              <w:spacing w:after="0" w:line="259" w:lineRule="auto"/>
              <w:ind w:left="0" w:right="0" w:firstLine="0"/>
              <w:jc w:val="left"/>
            </w:pPr>
            <w:r>
              <w:rPr>
                <w:sz w:val="20"/>
              </w:rPr>
              <w:t xml:space="preserve">SFCI12T4D11, SK3 </w:t>
            </w:r>
          </w:p>
        </w:tc>
      </w:tr>
      <w:tr w:rsidR="000A5B37" w14:paraId="590B81AA" w14:textId="77777777">
        <w:trPr>
          <w:trHeight w:val="497"/>
        </w:trPr>
        <w:tc>
          <w:tcPr>
            <w:tcW w:w="0" w:type="auto"/>
            <w:vMerge/>
            <w:tcBorders>
              <w:top w:val="nil"/>
              <w:left w:val="single" w:sz="4" w:space="0" w:color="B4C6E7"/>
              <w:bottom w:val="nil"/>
              <w:right w:val="single" w:sz="4" w:space="0" w:color="B4C6E7"/>
            </w:tcBorders>
          </w:tcPr>
          <w:p w14:paraId="625A07E5"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32EDCB9C" w14:textId="77777777" w:rsidR="000A5B37" w:rsidRDefault="00000000">
            <w:pPr>
              <w:spacing w:after="0" w:line="259" w:lineRule="auto"/>
              <w:ind w:left="1" w:right="0" w:firstLine="0"/>
              <w:jc w:val="left"/>
            </w:pPr>
            <w:r>
              <w:rPr>
                <w:sz w:val="20"/>
              </w:rPr>
              <w:t xml:space="preserve">CD8 </w:t>
            </w:r>
          </w:p>
        </w:tc>
        <w:tc>
          <w:tcPr>
            <w:tcW w:w="2549" w:type="dxa"/>
            <w:tcBorders>
              <w:top w:val="single" w:sz="4" w:space="0" w:color="B4C6E7"/>
              <w:left w:val="single" w:sz="4" w:space="0" w:color="B4C6E7"/>
              <w:bottom w:val="single" w:sz="4" w:space="0" w:color="B4C6E7"/>
              <w:right w:val="single" w:sz="4" w:space="0" w:color="B4C6E7"/>
            </w:tcBorders>
          </w:tcPr>
          <w:p w14:paraId="67A8FD55" w14:textId="77777777" w:rsidR="000A5B37" w:rsidRDefault="00000000">
            <w:pPr>
              <w:spacing w:after="0" w:line="259" w:lineRule="auto"/>
              <w:ind w:left="0" w:right="0" w:firstLine="0"/>
              <w:jc w:val="left"/>
            </w:pPr>
            <w:r>
              <w:rPr>
                <w:sz w:val="20"/>
              </w:rPr>
              <w:t xml:space="preserve">B9.11, SK1 </w:t>
            </w:r>
          </w:p>
        </w:tc>
      </w:tr>
      <w:tr w:rsidR="000A5B37" w14:paraId="32707B83" w14:textId="77777777">
        <w:trPr>
          <w:trHeight w:val="499"/>
        </w:trPr>
        <w:tc>
          <w:tcPr>
            <w:tcW w:w="0" w:type="auto"/>
            <w:vMerge/>
            <w:tcBorders>
              <w:top w:val="nil"/>
              <w:left w:val="single" w:sz="4" w:space="0" w:color="B4C6E7"/>
              <w:bottom w:val="nil"/>
              <w:right w:val="single" w:sz="4" w:space="0" w:color="B4C6E7"/>
            </w:tcBorders>
          </w:tcPr>
          <w:p w14:paraId="297A4428"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52956D80" w14:textId="77777777" w:rsidR="000A5B37" w:rsidRDefault="00000000">
            <w:pPr>
              <w:spacing w:after="0" w:line="259" w:lineRule="auto"/>
              <w:ind w:left="1" w:right="0" w:firstLine="0"/>
              <w:jc w:val="left"/>
            </w:pPr>
            <w:r>
              <w:rPr>
                <w:sz w:val="20"/>
              </w:rPr>
              <w:t xml:space="preserve">CD27*  </w:t>
            </w:r>
          </w:p>
        </w:tc>
        <w:tc>
          <w:tcPr>
            <w:tcW w:w="2549" w:type="dxa"/>
            <w:tcBorders>
              <w:top w:val="single" w:sz="4" w:space="0" w:color="B4C6E7"/>
              <w:left w:val="single" w:sz="4" w:space="0" w:color="B4C6E7"/>
              <w:bottom w:val="single" w:sz="4" w:space="0" w:color="B4C6E7"/>
              <w:right w:val="single" w:sz="4" w:space="0" w:color="B4C6E7"/>
            </w:tcBorders>
          </w:tcPr>
          <w:p w14:paraId="49969F77" w14:textId="77777777" w:rsidR="000A5B37" w:rsidRDefault="00000000">
            <w:pPr>
              <w:spacing w:after="0" w:line="259" w:lineRule="auto"/>
              <w:ind w:left="0" w:right="55" w:firstLine="0"/>
              <w:jc w:val="left"/>
            </w:pPr>
            <w:r>
              <w:rPr>
                <w:sz w:val="20"/>
              </w:rPr>
              <w:t xml:space="preserve">M-T271, 1A4LDG5.3.1, O323, L128 </w:t>
            </w:r>
          </w:p>
        </w:tc>
      </w:tr>
      <w:tr w:rsidR="000A5B37" w14:paraId="4A70ADE3" w14:textId="77777777">
        <w:trPr>
          <w:trHeight w:val="497"/>
        </w:trPr>
        <w:tc>
          <w:tcPr>
            <w:tcW w:w="0" w:type="auto"/>
            <w:vMerge/>
            <w:tcBorders>
              <w:top w:val="nil"/>
              <w:left w:val="single" w:sz="4" w:space="0" w:color="B4C6E7"/>
              <w:bottom w:val="nil"/>
              <w:right w:val="single" w:sz="4" w:space="0" w:color="B4C6E7"/>
            </w:tcBorders>
          </w:tcPr>
          <w:p w14:paraId="203F1DEB"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306B853B" w14:textId="77777777" w:rsidR="000A5B37" w:rsidRDefault="00000000">
            <w:pPr>
              <w:spacing w:after="0" w:line="259" w:lineRule="auto"/>
              <w:ind w:left="1" w:right="0" w:firstLine="0"/>
              <w:jc w:val="left"/>
            </w:pPr>
            <w:r>
              <w:rPr>
                <w:sz w:val="20"/>
              </w:rPr>
              <w:t xml:space="preserve">CD28* </w:t>
            </w:r>
          </w:p>
        </w:tc>
        <w:tc>
          <w:tcPr>
            <w:tcW w:w="2549" w:type="dxa"/>
            <w:tcBorders>
              <w:top w:val="single" w:sz="4" w:space="0" w:color="B4C6E7"/>
              <w:left w:val="single" w:sz="4" w:space="0" w:color="B4C6E7"/>
              <w:bottom w:val="single" w:sz="4" w:space="0" w:color="B4C6E7"/>
              <w:right w:val="single" w:sz="4" w:space="0" w:color="B4C6E7"/>
            </w:tcBorders>
          </w:tcPr>
          <w:p w14:paraId="27E2FF81" w14:textId="77777777" w:rsidR="000A5B37" w:rsidRDefault="00000000">
            <w:pPr>
              <w:spacing w:after="0" w:line="259" w:lineRule="auto"/>
              <w:ind w:left="0" w:right="0" w:firstLine="0"/>
              <w:jc w:val="left"/>
            </w:pPr>
            <w:r>
              <w:rPr>
                <w:sz w:val="20"/>
              </w:rPr>
              <w:t xml:space="preserve">CD28.2 </w:t>
            </w:r>
          </w:p>
        </w:tc>
      </w:tr>
      <w:tr w:rsidR="000A5B37" w14:paraId="5AFCCC45" w14:textId="77777777">
        <w:trPr>
          <w:trHeight w:val="499"/>
        </w:trPr>
        <w:tc>
          <w:tcPr>
            <w:tcW w:w="0" w:type="auto"/>
            <w:vMerge/>
            <w:tcBorders>
              <w:top w:val="nil"/>
              <w:left w:val="single" w:sz="4" w:space="0" w:color="B4C6E7"/>
              <w:bottom w:val="nil"/>
              <w:right w:val="single" w:sz="4" w:space="0" w:color="B4C6E7"/>
            </w:tcBorders>
          </w:tcPr>
          <w:p w14:paraId="5FCBB5E1"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250D5F78" w14:textId="77777777" w:rsidR="000A5B37" w:rsidRDefault="00000000">
            <w:pPr>
              <w:spacing w:after="0" w:line="259" w:lineRule="auto"/>
              <w:ind w:left="1" w:right="0" w:firstLine="0"/>
              <w:jc w:val="left"/>
            </w:pPr>
            <w:r>
              <w:rPr>
                <w:sz w:val="20"/>
              </w:rPr>
              <w:t xml:space="preserve">CD45 </w:t>
            </w:r>
          </w:p>
        </w:tc>
        <w:tc>
          <w:tcPr>
            <w:tcW w:w="2549" w:type="dxa"/>
            <w:tcBorders>
              <w:top w:val="single" w:sz="4" w:space="0" w:color="B4C6E7"/>
              <w:left w:val="single" w:sz="4" w:space="0" w:color="B4C6E7"/>
              <w:bottom w:val="single" w:sz="4" w:space="0" w:color="B4C6E7"/>
              <w:right w:val="single" w:sz="4" w:space="0" w:color="B4C6E7"/>
            </w:tcBorders>
          </w:tcPr>
          <w:p w14:paraId="0D143332" w14:textId="77777777" w:rsidR="000A5B37" w:rsidRDefault="00000000">
            <w:pPr>
              <w:spacing w:after="0" w:line="259" w:lineRule="auto"/>
              <w:ind w:left="0" w:right="0" w:firstLine="0"/>
              <w:jc w:val="left"/>
            </w:pPr>
            <w:r>
              <w:rPr>
                <w:sz w:val="20"/>
              </w:rPr>
              <w:t xml:space="preserve">J33, HI30, 2D1 </w:t>
            </w:r>
          </w:p>
        </w:tc>
      </w:tr>
      <w:tr w:rsidR="000A5B37" w14:paraId="260D7344" w14:textId="77777777">
        <w:trPr>
          <w:trHeight w:val="497"/>
        </w:trPr>
        <w:tc>
          <w:tcPr>
            <w:tcW w:w="0" w:type="auto"/>
            <w:vMerge/>
            <w:tcBorders>
              <w:top w:val="nil"/>
              <w:left w:val="single" w:sz="4" w:space="0" w:color="B4C6E7"/>
              <w:bottom w:val="nil"/>
              <w:right w:val="single" w:sz="4" w:space="0" w:color="B4C6E7"/>
            </w:tcBorders>
          </w:tcPr>
          <w:p w14:paraId="2F355B5E"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2CFEF8FF" w14:textId="77777777" w:rsidR="000A5B37" w:rsidRDefault="00000000">
            <w:pPr>
              <w:spacing w:after="0" w:line="259" w:lineRule="auto"/>
              <w:ind w:left="1" w:right="0" w:firstLine="0"/>
              <w:jc w:val="left"/>
            </w:pPr>
            <w:r>
              <w:rPr>
                <w:sz w:val="20"/>
              </w:rPr>
              <w:t xml:space="preserve">CD45RA* </w:t>
            </w:r>
          </w:p>
        </w:tc>
        <w:tc>
          <w:tcPr>
            <w:tcW w:w="2549" w:type="dxa"/>
            <w:tcBorders>
              <w:top w:val="single" w:sz="4" w:space="0" w:color="B4C6E7"/>
              <w:left w:val="single" w:sz="4" w:space="0" w:color="B4C6E7"/>
              <w:bottom w:val="single" w:sz="4" w:space="0" w:color="B4C6E7"/>
              <w:right w:val="single" w:sz="4" w:space="0" w:color="B4C6E7"/>
            </w:tcBorders>
          </w:tcPr>
          <w:p w14:paraId="4CA30BED" w14:textId="77777777" w:rsidR="000A5B37" w:rsidRDefault="00000000">
            <w:pPr>
              <w:spacing w:after="0" w:line="259" w:lineRule="auto"/>
              <w:ind w:left="0" w:right="0" w:firstLine="0"/>
              <w:jc w:val="left"/>
            </w:pPr>
            <w:r>
              <w:rPr>
                <w:sz w:val="20"/>
              </w:rPr>
              <w:t xml:space="preserve">2H4LDH11LD89, HI100, L48 </w:t>
            </w:r>
          </w:p>
        </w:tc>
      </w:tr>
      <w:tr w:rsidR="000A5B37" w14:paraId="5EDF528A" w14:textId="77777777">
        <w:trPr>
          <w:trHeight w:val="499"/>
        </w:trPr>
        <w:tc>
          <w:tcPr>
            <w:tcW w:w="0" w:type="auto"/>
            <w:vMerge/>
            <w:tcBorders>
              <w:top w:val="nil"/>
              <w:left w:val="single" w:sz="4" w:space="0" w:color="B4C6E7"/>
              <w:bottom w:val="nil"/>
              <w:right w:val="single" w:sz="4" w:space="0" w:color="B4C6E7"/>
            </w:tcBorders>
          </w:tcPr>
          <w:p w14:paraId="6D0BCE51"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78F6F8BA" w14:textId="77777777" w:rsidR="000A5B37" w:rsidRDefault="00000000">
            <w:pPr>
              <w:spacing w:after="0" w:line="259" w:lineRule="auto"/>
              <w:ind w:left="1" w:right="0" w:firstLine="0"/>
              <w:jc w:val="left"/>
            </w:pPr>
            <w:r>
              <w:rPr>
                <w:sz w:val="20"/>
              </w:rPr>
              <w:t xml:space="preserve">CD45RO* </w:t>
            </w:r>
          </w:p>
        </w:tc>
        <w:tc>
          <w:tcPr>
            <w:tcW w:w="2549" w:type="dxa"/>
            <w:tcBorders>
              <w:top w:val="single" w:sz="4" w:space="0" w:color="B4C6E7"/>
              <w:left w:val="single" w:sz="4" w:space="0" w:color="B4C6E7"/>
              <w:bottom w:val="single" w:sz="4" w:space="0" w:color="B4C6E7"/>
              <w:right w:val="single" w:sz="4" w:space="0" w:color="B4C6E7"/>
            </w:tcBorders>
          </w:tcPr>
          <w:p w14:paraId="35B0E8CA" w14:textId="77777777" w:rsidR="000A5B37" w:rsidRDefault="00000000">
            <w:pPr>
              <w:spacing w:after="0" w:line="259" w:lineRule="auto"/>
              <w:ind w:left="0" w:right="0" w:firstLine="0"/>
              <w:jc w:val="left"/>
            </w:pPr>
            <w:r>
              <w:rPr>
                <w:sz w:val="20"/>
              </w:rPr>
              <w:t xml:space="preserve">UCHL1 </w:t>
            </w:r>
          </w:p>
        </w:tc>
      </w:tr>
      <w:tr w:rsidR="000A5B37" w14:paraId="557A3EAC" w14:textId="77777777">
        <w:trPr>
          <w:trHeight w:val="497"/>
        </w:trPr>
        <w:tc>
          <w:tcPr>
            <w:tcW w:w="0" w:type="auto"/>
            <w:vMerge/>
            <w:tcBorders>
              <w:top w:val="nil"/>
              <w:left w:val="single" w:sz="4" w:space="0" w:color="B4C6E7"/>
              <w:bottom w:val="nil"/>
              <w:right w:val="single" w:sz="4" w:space="0" w:color="B4C6E7"/>
            </w:tcBorders>
          </w:tcPr>
          <w:p w14:paraId="386E6B13"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7F0E83CD" w14:textId="77777777" w:rsidR="000A5B37" w:rsidRDefault="00000000">
            <w:pPr>
              <w:spacing w:after="0" w:line="259" w:lineRule="auto"/>
              <w:ind w:left="1" w:right="0" w:firstLine="0"/>
              <w:jc w:val="left"/>
            </w:pPr>
            <w:r>
              <w:rPr>
                <w:sz w:val="20"/>
              </w:rPr>
              <w:t xml:space="preserve">TCRαβ* </w:t>
            </w:r>
            <w:r>
              <w:rPr>
                <w:b/>
                <w:sz w:val="20"/>
              </w:rPr>
              <w:t xml:space="preserve"> </w:t>
            </w:r>
          </w:p>
          <w:p w14:paraId="6AE34FBF" w14:textId="77777777" w:rsidR="000A5B37" w:rsidRDefault="00000000">
            <w:pPr>
              <w:spacing w:after="0" w:line="259" w:lineRule="auto"/>
              <w:ind w:left="1" w:right="0" w:firstLine="0"/>
              <w:jc w:val="left"/>
            </w:pPr>
            <w:r>
              <w:rPr>
                <w:sz w:val="20"/>
              </w:rPr>
              <w:t xml:space="preserve"> </w:t>
            </w:r>
          </w:p>
        </w:tc>
        <w:tc>
          <w:tcPr>
            <w:tcW w:w="2549" w:type="dxa"/>
            <w:tcBorders>
              <w:top w:val="single" w:sz="4" w:space="0" w:color="B4C6E7"/>
              <w:left w:val="single" w:sz="4" w:space="0" w:color="B4C6E7"/>
              <w:bottom w:val="single" w:sz="4" w:space="0" w:color="B4C6E7"/>
              <w:right w:val="single" w:sz="4" w:space="0" w:color="B4C6E7"/>
            </w:tcBorders>
          </w:tcPr>
          <w:p w14:paraId="2D775164" w14:textId="77777777" w:rsidR="000A5B37" w:rsidRDefault="00000000">
            <w:pPr>
              <w:spacing w:after="0" w:line="259" w:lineRule="auto"/>
              <w:ind w:left="0" w:right="0" w:firstLine="0"/>
              <w:jc w:val="left"/>
            </w:pPr>
            <w:r>
              <w:rPr>
                <w:sz w:val="20"/>
              </w:rPr>
              <w:t xml:space="preserve">IP26A, WT31, BMA031 </w:t>
            </w:r>
          </w:p>
        </w:tc>
      </w:tr>
      <w:tr w:rsidR="000A5B37" w14:paraId="0F58F7AB" w14:textId="77777777">
        <w:trPr>
          <w:trHeight w:val="499"/>
        </w:trPr>
        <w:tc>
          <w:tcPr>
            <w:tcW w:w="0" w:type="auto"/>
            <w:vMerge/>
            <w:tcBorders>
              <w:top w:val="nil"/>
              <w:left w:val="single" w:sz="4" w:space="0" w:color="B4C6E7"/>
              <w:bottom w:val="single" w:sz="4" w:space="0" w:color="B4C6E7"/>
              <w:right w:val="single" w:sz="4" w:space="0" w:color="B4C6E7"/>
            </w:tcBorders>
          </w:tcPr>
          <w:p w14:paraId="4DC3220D"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51FE3732" w14:textId="77777777" w:rsidR="000A5B37" w:rsidRDefault="00000000">
            <w:pPr>
              <w:spacing w:after="0" w:line="259" w:lineRule="auto"/>
              <w:ind w:left="1" w:right="0" w:firstLine="0"/>
              <w:jc w:val="left"/>
            </w:pPr>
            <w:r>
              <w:rPr>
                <w:sz w:val="20"/>
              </w:rPr>
              <w:t xml:space="preserve">TCRγδ* </w:t>
            </w:r>
          </w:p>
        </w:tc>
        <w:tc>
          <w:tcPr>
            <w:tcW w:w="2549" w:type="dxa"/>
            <w:tcBorders>
              <w:top w:val="single" w:sz="4" w:space="0" w:color="B4C6E7"/>
              <w:left w:val="single" w:sz="4" w:space="0" w:color="B4C6E7"/>
              <w:bottom w:val="single" w:sz="4" w:space="0" w:color="B4C6E7"/>
              <w:right w:val="single" w:sz="4" w:space="0" w:color="B4C6E7"/>
            </w:tcBorders>
          </w:tcPr>
          <w:p w14:paraId="20985747" w14:textId="77777777" w:rsidR="000A5B37" w:rsidRDefault="00000000">
            <w:pPr>
              <w:spacing w:after="0" w:line="259" w:lineRule="auto"/>
              <w:ind w:left="0" w:right="0" w:firstLine="0"/>
              <w:jc w:val="left"/>
            </w:pPr>
            <w:r>
              <w:rPr>
                <w:sz w:val="20"/>
              </w:rPr>
              <w:t xml:space="preserve">11F2, Immuno 510, 11F2 </w:t>
            </w:r>
          </w:p>
        </w:tc>
      </w:tr>
      <w:tr w:rsidR="000A5B37" w14:paraId="31C86E99" w14:textId="77777777">
        <w:trPr>
          <w:trHeight w:val="497"/>
        </w:trPr>
        <w:tc>
          <w:tcPr>
            <w:tcW w:w="2134" w:type="dxa"/>
            <w:vMerge w:val="restart"/>
            <w:tcBorders>
              <w:top w:val="single" w:sz="4" w:space="0" w:color="B4C6E7"/>
              <w:left w:val="single" w:sz="4" w:space="0" w:color="B4C6E7"/>
              <w:bottom w:val="single" w:sz="4" w:space="0" w:color="B4C6E7"/>
              <w:right w:val="single" w:sz="4" w:space="0" w:color="B4C6E7"/>
            </w:tcBorders>
          </w:tcPr>
          <w:p w14:paraId="6322096D" w14:textId="77777777" w:rsidR="000A5B37" w:rsidRDefault="00000000">
            <w:pPr>
              <w:spacing w:after="0" w:line="259" w:lineRule="auto"/>
              <w:ind w:left="1" w:right="0" w:firstLine="0"/>
              <w:jc w:val="left"/>
            </w:pPr>
            <w:r>
              <w:rPr>
                <w:b/>
                <w:sz w:val="20"/>
              </w:rPr>
              <w:t xml:space="preserve">Aanvullend (optioneel)  </w:t>
            </w:r>
          </w:p>
        </w:tc>
        <w:tc>
          <w:tcPr>
            <w:tcW w:w="2114" w:type="dxa"/>
            <w:tcBorders>
              <w:top w:val="single" w:sz="4" w:space="0" w:color="B4C6E7"/>
              <w:left w:val="single" w:sz="4" w:space="0" w:color="B4C6E7"/>
              <w:bottom w:val="single" w:sz="4" w:space="0" w:color="B4C6E7"/>
              <w:right w:val="single" w:sz="4" w:space="0" w:color="B4C6E7"/>
            </w:tcBorders>
          </w:tcPr>
          <w:p w14:paraId="2BD07E2E" w14:textId="77777777" w:rsidR="000A5B37" w:rsidRDefault="00000000">
            <w:pPr>
              <w:spacing w:after="0" w:line="259" w:lineRule="auto"/>
              <w:ind w:left="1" w:right="0" w:firstLine="0"/>
              <w:jc w:val="left"/>
            </w:pPr>
            <w:r>
              <w:rPr>
                <w:sz w:val="20"/>
              </w:rPr>
              <w:t xml:space="preserve">CD25 </w:t>
            </w:r>
          </w:p>
        </w:tc>
        <w:tc>
          <w:tcPr>
            <w:tcW w:w="2549" w:type="dxa"/>
            <w:tcBorders>
              <w:top w:val="single" w:sz="4" w:space="0" w:color="B4C6E7"/>
              <w:left w:val="single" w:sz="4" w:space="0" w:color="B4C6E7"/>
              <w:bottom w:val="single" w:sz="4" w:space="0" w:color="B4C6E7"/>
              <w:right w:val="single" w:sz="4" w:space="0" w:color="B4C6E7"/>
            </w:tcBorders>
          </w:tcPr>
          <w:p w14:paraId="78856D8B" w14:textId="77777777" w:rsidR="000A5B37" w:rsidRDefault="00000000">
            <w:pPr>
              <w:spacing w:after="0" w:line="259" w:lineRule="auto"/>
              <w:ind w:left="0" w:right="0" w:firstLine="0"/>
              <w:jc w:val="left"/>
            </w:pPr>
            <w:r>
              <w:rPr>
                <w:sz w:val="20"/>
              </w:rPr>
              <w:t xml:space="preserve">2A3, M-A251 </w:t>
            </w:r>
          </w:p>
        </w:tc>
      </w:tr>
      <w:tr w:rsidR="000A5B37" w14:paraId="13D50B36" w14:textId="77777777">
        <w:trPr>
          <w:trHeight w:val="499"/>
        </w:trPr>
        <w:tc>
          <w:tcPr>
            <w:tcW w:w="0" w:type="auto"/>
            <w:vMerge/>
            <w:tcBorders>
              <w:top w:val="nil"/>
              <w:left w:val="single" w:sz="4" w:space="0" w:color="B4C6E7"/>
              <w:bottom w:val="nil"/>
              <w:right w:val="single" w:sz="4" w:space="0" w:color="B4C6E7"/>
            </w:tcBorders>
          </w:tcPr>
          <w:p w14:paraId="7147BC38"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680CABF9" w14:textId="77777777" w:rsidR="000A5B37" w:rsidRDefault="00000000">
            <w:pPr>
              <w:spacing w:after="0" w:line="259" w:lineRule="auto"/>
              <w:ind w:left="1" w:right="0" w:firstLine="0"/>
              <w:jc w:val="left"/>
            </w:pPr>
            <w:r>
              <w:rPr>
                <w:sz w:val="20"/>
              </w:rPr>
              <w:t xml:space="preserve">CD31 </w:t>
            </w:r>
          </w:p>
        </w:tc>
        <w:tc>
          <w:tcPr>
            <w:tcW w:w="2549" w:type="dxa"/>
            <w:tcBorders>
              <w:top w:val="single" w:sz="4" w:space="0" w:color="B4C6E7"/>
              <w:left w:val="single" w:sz="4" w:space="0" w:color="B4C6E7"/>
              <w:bottom w:val="single" w:sz="4" w:space="0" w:color="B4C6E7"/>
              <w:right w:val="single" w:sz="4" w:space="0" w:color="B4C6E7"/>
            </w:tcBorders>
          </w:tcPr>
          <w:p w14:paraId="492E6492" w14:textId="77777777" w:rsidR="000A5B37" w:rsidRDefault="00000000">
            <w:pPr>
              <w:spacing w:after="0" w:line="259" w:lineRule="auto"/>
              <w:ind w:left="0" w:right="0" w:firstLine="0"/>
              <w:jc w:val="left"/>
            </w:pPr>
            <w:r>
              <w:rPr>
                <w:sz w:val="20"/>
              </w:rPr>
              <w:t xml:space="preserve">MEM-05, 5.6E, WM59 </w:t>
            </w:r>
          </w:p>
        </w:tc>
      </w:tr>
      <w:tr w:rsidR="000A5B37" w14:paraId="2A18C24F" w14:textId="77777777">
        <w:trPr>
          <w:trHeight w:val="497"/>
        </w:trPr>
        <w:tc>
          <w:tcPr>
            <w:tcW w:w="0" w:type="auto"/>
            <w:vMerge/>
            <w:tcBorders>
              <w:top w:val="nil"/>
              <w:left w:val="single" w:sz="4" w:space="0" w:color="B4C6E7"/>
              <w:bottom w:val="nil"/>
              <w:right w:val="single" w:sz="4" w:space="0" w:color="B4C6E7"/>
            </w:tcBorders>
          </w:tcPr>
          <w:p w14:paraId="6F1BC5BF"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177E13E5" w14:textId="77777777" w:rsidR="000A5B37" w:rsidRDefault="00000000">
            <w:pPr>
              <w:spacing w:after="0" w:line="259" w:lineRule="auto"/>
              <w:ind w:left="1" w:right="0" w:firstLine="0"/>
              <w:jc w:val="left"/>
            </w:pPr>
            <w:r>
              <w:rPr>
                <w:sz w:val="20"/>
              </w:rPr>
              <w:t xml:space="preserve">CD38 </w:t>
            </w:r>
          </w:p>
        </w:tc>
        <w:tc>
          <w:tcPr>
            <w:tcW w:w="2549" w:type="dxa"/>
            <w:tcBorders>
              <w:top w:val="single" w:sz="4" w:space="0" w:color="B4C6E7"/>
              <w:left w:val="single" w:sz="4" w:space="0" w:color="B4C6E7"/>
              <w:bottom w:val="single" w:sz="4" w:space="0" w:color="B4C6E7"/>
              <w:right w:val="single" w:sz="4" w:space="0" w:color="B4C6E7"/>
            </w:tcBorders>
          </w:tcPr>
          <w:p w14:paraId="5ACDF40F" w14:textId="77777777" w:rsidR="000A5B37" w:rsidRDefault="00000000">
            <w:pPr>
              <w:spacing w:after="0" w:line="259" w:lineRule="auto"/>
              <w:ind w:left="0" w:right="0" w:firstLine="0"/>
              <w:jc w:val="left"/>
            </w:pPr>
            <w:r>
              <w:rPr>
                <w:sz w:val="20"/>
              </w:rPr>
              <w:t xml:space="preserve">HB7, HIT2 </w:t>
            </w:r>
          </w:p>
        </w:tc>
      </w:tr>
      <w:tr w:rsidR="000A5B37" w14:paraId="6D07FBD5" w14:textId="77777777">
        <w:trPr>
          <w:trHeight w:val="499"/>
        </w:trPr>
        <w:tc>
          <w:tcPr>
            <w:tcW w:w="0" w:type="auto"/>
            <w:vMerge/>
            <w:tcBorders>
              <w:top w:val="nil"/>
              <w:left w:val="single" w:sz="4" w:space="0" w:color="B4C6E7"/>
              <w:bottom w:val="nil"/>
              <w:right w:val="single" w:sz="4" w:space="0" w:color="B4C6E7"/>
            </w:tcBorders>
          </w:tcPr>
          <w:p w14:paraId="12E328E5"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2FA484A7" w14:textId="77777777" w:rsidR="000A5B37" w:rsidRDefault="00000000">
            <w:pPr>
              <w:spacing w:after="0" w:line="259" w:lineRule="auto"/>
              <w:ind w:left="1" w:right="0" w:firstLine="0"/>
              <w:jc w:val="left"/>
            </w:pPr>
            <w:r>
              <w:rPr>
                <w:sz w:val="20"/>
              </w:rPr>
              <w:t xml:space="preserve">CD127 </w:t>
            </w:r>
          </w:p>
        </w:tc>
        <w:tc>
          <w:tcPr>
            <w:tcW w:w="2549" w:type="dxa"/>
            <w:tcBorders>
              <w:top w:val="single" w:sz="4" w:space="0" w:color="B4C6E7"/>
              <w:left w:val="single" w:sz="4" w:space="0" w:color="B4C6E7"/>
              <w:bottom w:val="single" w:sz="4" w:space="0" w:color="B4C6E7"/>
              <w:right w:val="single" w:sz="4" w:space="0" w:color="B4C6E7"/>
            </w:tcBorders>
          </w:tcPr>
          <w:p w14:paraId="5581BBA1" w14:textId="77777777" w:rsidR="000A5B37" w:rsidRDefault="00000000">
            <w:pPr>
              <w:spacing w:after="0" w:line="259" w:lineRule="auto"/>
              <w:ind w:left="0" w:right="0" w:firstLine="0"/>
              <w:jc w:val="left"/>
            </w:pPr>
            <w:r>
              <w:rPr>
                <w:sz w:val="20"/>
              </w:rPr>
              <w:t xml:space="preserve">hIL-7R-M21 en A019D5, eBioRDR5 </w:t>
            </w:r>
          </w:p>
        </w:tc>
      </w:tr>
      <w:tr w:rsidR="000A5B37" w14:paraId="5AA0CE4F" w14:textId="77777777">
        <w:trPr>
          <w:trHeight w:val="497"/>
        </w:trPr>
        <w:tc>
          <w:tcPr>
            <w:tcW w:w="0" w:type="auto"/>
            <w:vMerge/>
            <w:tcBorders>
              <w:top w:val="nil"/>
              <w:left w:val="single" w:sz="4" w:space="0" w:color="B4C6E7"/>
              <w:bottom w:val="nil"/>
              <w:right w:val="single" w:sz="4" w:space="0" w:color="B4C6E7"/>
            </w:tcBorders>
          </w:tcPr>
          <w:p w14:paraId="66550D3E"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67E9EEE5" w14:textId="77777777" w:rsidR="000A5B37" w:rsidRDefault="00000000">
            <w:pPr>
              <w:spacing w:after="0" w:line="259" w:lineRule="auto"/>
              <w:ind w:left="1" w:right="0" w:firstLine="0"/>
              <w:jc w:val="left"/>
            </w:pPr>
            <w:r>
              <w:rPr>
                <w:sz w:val="20"/>
              </w:rPr>
              <w:t xml:space="preserve">CD197  </w:t>
            </w:r>
          </w:p>
        </w:tc>
        <w:tc>
          <w:tcPr>
            <w:tcW w:w="2549" w:type="dxa"/>
            <w:tcBorders>
              <w:top w:val="single" w:sz="4" w:space="0" w:color="B4C6E7"/>
              <w:left w:val="single" w:sz="4" w:space="0" w:color="B4C6E7"/>
              <w:bottom w:val="single" w:sz="4" w:space="0" w:color="B4C6E7"/>
              <w:right w:val="single" w:sz="4" w:space="0" w:color="B4C6E7"/>
            </w:tcBorders>
          </w:tcPr>
          <w:p w14:paraId="147EAC33" w14:textId="77777777" w:rsidR="000A5B37" w:rsidRDefault="00000000">
            <w:pPr>
              <w:spacing w:after="0" w:line="259" w:lineRule="auto"/>
              <w:ind w:left="0" w:right="0" w:firstLine="0"/>
              <w:jc w:val="left"/>
            </w:pPr>
            <w:r>
              <w:rPr>
                <w:sz w:val="20"/>
              </w:rPr>
              <w:t xml:space="preserve">FR11-11E8, G043H7, 2-L1-A </w:t>
            </w:r>
          </w:p>
        </w:tc>
      </w:tr>
      <w:tr w:rsidR="000A5B37" w14:paraId="73CDDA78" w14:textId="77777777">
        <w:trPr>
          <w:trHeight w:val="499"/>
        </w:trPr>
        <w:tc>
          <w:tcPr>
            <w:tcW w:w="0" w:type="auto"/>
            <w:vMerge/>
            <w:tcBorders>
              <w:top w:val="nil"/>
              <w:left w:val="single" w:sz="4" w:space="0" w:color="B4C6E7"/>
              <w:bottom w:val="nil"/>
              <w:right w:val="single" w:sz="4" w:space="0" w:color="B4C6E7"/>
            </w:tcBorders>
          </w:tcPr>
          <w:p w14:paraId="661785DD"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2F774EF8" w14:textId="77777777" w:rsidR="000A5B37" w:rsidRDefault="00000000">
            <w:pPr>
              <w:spacing w:after="0" w:line="259" w:lineRule="auto"/>
              <w:ind w:left="1" w:right="0" w:firstLine="0"/>
              <w:jc w:val="left"/>
            </w:pPr>
            <w:r>
              <w:rPr>
                <w:sz w:val="20"/>
              </w:rPr>
              <w:t xml:space="preserve">HLADR </w:t>
            </w:r>
          </w:p>
        </w:tc>
        <w:tc>
          <w:tcPr>
            <w:tcW w:w="2549" w:type="dxa"/>
            <w:tcBorders>
              <w:top w:val="single" w:sz="4" w:space="0" w:color="B4C6E7"/>
              <w:left w:val="single" w:sz="4" w:space="0" w:color="B4C6E7"/>
              <w:bottom w:val="single" w:sz="4" w:space="0" w:color="B4C6E7"/>
              <w:right w:val="single" w:sz="4" w:space="0" w:color="B4C6E7"/>
            </w:tcBorders>
          </w:tcPr>
          <w:p w14:paraId="0F1D5836" w14:textId="77777777" w:rsidR="000A5B37" w:rsidRDefault="00000000">
            <w:pPr>
              <w:spacing w:after="0" w:line="259" w:lineRule="auto"/>
              <w:ind w:left="0" w:right="0" w:firstLine="0"/>
              <w:jc w:val="left"/>
            </w:pPr>
            <w:r>
              <w:rPr>
                <w:sz w:val="20"/>
              </w:rPr>
              <w:t xml:space="preserve">L243, Immu-357, G46-6 </w:t>
            </w:r>
          </w:p>
        </w:tc>
      </w:tr>
      <w:tr w:rsidR="000A5B37" w14:paraId="14628C34" w14:textId="77777777">
        <w:trPr>
          <w:trHeight w:val="499"/>
        </w:trPr>
        <w:tc>
          <w:tcPr>
            <w:tcW w:w="0" w:type="auto"/>
            <w:vMerge/>
            <w:tcBorders>
              <w:top w:val="nil"/>
              <w:left w:val="single" w:sz="4" w:space="0" w:color="B4C6E7"/>
              <w:bottom w:val="single" w:sz="4" w:space="0" w:color="B4C6E7"/>
              <w:right w:val="single" w:sz="4" w:space="0" w:color="B4C6E7"/>
            </w:tcBorders>
          </w:tcPr>
          <w:p w14:paraId="3B43190B" w14:textId="77777777" w:rsidR="000A5B37" w:rsidRDefault="000A5B37">
            <w:pPr>
              <w:spacing w:after="160" w:line="259" w:lineRule="auto"/>
              <w:ind w:left="0" w:right="0" w:firstLine="0"/>
              <w:jc w:val="left"/>
            </w:pPr>
          </w:p>
        </w:tc>
        <w:tc>
          <w:tcPr>
            <w:tcW w:w="2114" w:type="dxa"/>
            <w:tcBorders>
              <w:top w:val="single" w:sz="4" w:space="0" w:color="B4C6E7"/>
              <w:left w:val="single" w:sz="4" w:space="0" w:color="B4C6E7"/>
              <w:bottom w:val="single" w:sz="4" w:space="0" w:color="B4C6E7"/>
              <w:right w:val="single" w:sz="4" w:space="0" w:color="B4C6E7"/>
            </w:tcBorders>
          </w:tcPr>
          <w:p w14:paraId="182480C2" w14:textId="77777777" w:rsidR="000A5B37" w:rsidRDefault="00000000">
            <w:pPr>
              <w:spacing w:after="0" w:line="259" w:lineRule="auto"/>
              <w:ind w:left="1" w:right="0" w:firstLine="0"/>
              <w:jc w:val="left"/>
            </w:pPr>
            <w:r>
              <w:rPr>
                <w:sz w:val="20"/>
              </w:rPr>
              <w:t xml:space="preserve">Intracellulair FOXP3** </w:t>
            </w:r>
          </w:p>
        </w:tc>
        <w:tc>
          <w:tcPr>
            <w:tcW w:w="2549" w:type="dxa"/>
            <w:tcBorders>
              <w:top w:val="single" w:sz="4" w:space="0" w:color="B4C6E7"/>
              <w:left w:val="single" w:sz="4" w:space="0" w:color="B4C6E7"/>
              <w:bottom w:val="single" w:sz="4" w:space="0" w:color="B4C6E7"/>
              <w:right w:val="single" w:sz="4" w:space="0" w:color="B4C6E7"/>
            </w:tcBorders>
          </w:tcPr>
          <w:p w14:paraId="4B6C4A13" w14:textId="77777777" w:rsidR="000A5B37" w:rsidRDefault="00000000">
            <w:pPr>
              <w:spacing w:after="0" w:line="259" w:lineRule="auto"/>
              <w:ind w:left="0" w:right="0" w:firstLine="0"/>
              <w:jc w:val="left"/>
            </w:pPr>
            <w:r>
              <w:rPr>
                <w:sz w:val="20"/>
              </w:rPr>
              <w:t xml:space="preserve">PCH101 </w:t>
            </w:r>
          </w:p>
        </w:tc>
      </w:tr>
    </w:tbl>
    <w:p w14:paraId="23A95D71" w14:textId="77777777" w:rsidR="000A5B37" w:rsidRDefault="00000000">
      <w:pPr>
        <w:numPr>
          <w:ilvl w:val="0"/>
          <w:numId w:val="1"/>
        </w:numPr>
        <w:spacing w:after="10" w:line="248" w:lineRule="auto"/>
        <w:ind w:right="0" w:hanging="116"/>
      </w:pPr>
      <w:r>
        <w:rPr>
          <w:sz w:val="16"/>
        </w:rPr>
        <w:lastRenderedPageBreak/>
        <w:t xml:space="preserve">Voor deze markers geldt: CD45RA </w:t>
      </w:r>
      <w:r>
        <w:rPr>
          <w:rFonts w:cs="Calibri"/>
          <w:i/>
          <w:sz w:val="16"/>
        </w:rPr>
        <w:t>of</w:t>
      </w:r>
      <w:r>
        <w:rPr>
          <w:sz w:val="16"/>
        </w:rPr>
        <w:t xml:space="preserve"> CD45RO; TCR</w:t>
      </w:r>
      <w:r>
        <w:rPr>
          <w:rFonts w:cs="Calibri"/>
          <w:sz w:val="16"/>
        </w:rPr>
        <w:t xml:space="preserve">αβ </w:t>
      </w:r>
      <w:r>
        <w:rPr>
          <w:rFonts w:cs="Calibri"/>
          <w:i/>
          <w:sz w:val="16"/>
        </w:rPr>
        <w:t>of</w:t>
      </w:r>
      <w:r>
        <w:rPr>
          <w:sz w:val="16"/>
        </w:rPr>
        <w:t xml:space="preserve"> TCR</w:t>
      </w:r>
      <w:r>
        <w:rPr>
          <w:rFonts w:cs="Calibri"/>
          <w:sz w:val="16"/>
        </w:rPr>
        <w:t xml:space="preserve">γδ; CD27 </w:t>
      </w:r>
      <w:r>
        <w:rPr>
          <w:rFonts w:cs="Calibri"/>
          <w:i/>
          <w:sz w:val="16"/>
        </w:rPr>
        <w:t>of</w:t>
      </w:r>
      <w:r>
        <w:rPr>
          <w:sz w:val="16"/>
        </w:rPr>
        <w:t xml:space="preserve"> CD28 </w:t>
      </w:r>
    </w:p>
    <w:p w14:paraId="33727485" w14:textId="77777777" w:rsidR="000A5B37" w:rsidRDefault="00000000">
      <w:pPr>
        <w:spacing w:after="66" w:line="248" w:lineRule="auto"/>
        <w:ind w:left="-5" w:right="0"/>
      </w:pPr>
      <w:r>
        <w:rPr>
          <w:sz w:val="16"/>
        </w:rPr>
        <w:t>** Fixatie permeabilisatie protocol noodzakelijk</w:t>
      </w:r>
      <w:r>
        <w:rPr>
          <w:rFonts w:cs="Calibri"/>
          <w:b/>
          <w:sz w:val="16"/>
        </w:rPr>
        <w:t xml:space="preserve"> </w:t>
      </w:r>
    </w:p>
    <w:p w14:paraId="48ECDC32" w14:textId="77777777" w:rsidR="000A5B37" w:rsidRDefault="00000000">
      <w:pPr>
        <w:spacing w:after="0" w:line="259" w:lineRule="auto"/>
        <w:ind w:left="0" w:right="0" w:firstLine="0"/>
        <w:jc w:val="left"/>
      </w:pPr>
      <w:r>
        <w:rPr>
          <w:sz w:val="24"/>
        </w:rPr>
        <w:t xml:space="preserve"> </w:t>
      </w:r>
    </w:p>
    <w:p w14:paraId="41C847C0" w14:textId="77777777" w:rsidR="000A5B37" w:rsidRDefault="00000000">
      <w:pPr>
        <w:ind w:left="-5" w:right="0"/>
      </w:pPr>
      <w:r>
        <w:t xml:space="preserve">2.2. B-cel marker motivatie </w:t>
      </w:r>
    </w:p>
    <w:p w14:paraId="3B756592" w14:textId="77777777" w:rsidR="000A5B37" w:rsidRDefault="00000000">
      <w:pPr>
        <w:ind w:left="-5" w:right="0"/>
      </w:pPr>
      <w:r>
        <w:rPr>
          <w:u w:val="single" w:color="000000"/>
        </w:rPr>
        <w:t>CD5</w:t>
      </w:r>
      <w:r>
        <w:rPr>
          <w:rFonts w:cs="Calibri"/>
          <w:b/>
        </w:rPr>
        <w:t xml:space="preserve"> </w:t>
      </w:r>
      <w:r>
        <w:t xml:space="preserve">is een pan T-cel marker, maar komt ook voor op bepaalde benigne B-cellen in bloed en lymfoïde weefsels, voornamelijk bij kinderen en jongvolwassenen.  </w:t>
      </w:r>
    </w:p>
    <w:p w14:paraId="21C65D32" w14:textId="77777777" w:rsidR="000A5B37" w:rsidRDefault="00000000">
      <w:pPr>
        <w:spacing w:after="0" w:line="259" w:lineRule="auto"/>
        <w:ind w:left="0" w:right="0" w:firstLine="0"/>
        <w:jc w:val="left"/>
      </w:pPr>
      <w:r>
        <w:rPr>
          <w:rFonts w:cs="Calibri"/>
          <w:b/>
        </w:rPr>
        <w:t xml:space="preserve"> </w:t>
      </w:r>
    </w:p>
    <w:p w14:paraId="51F201C2" w14:textId="77777777" w:rsidR="000A5B37" w:rsidRDefault="00000000">
      <w:pPr>
        <w:ind w:left="-5" w:right="0"/>
      </w:pPr>
      <w:r>
        <w:rPr>
          <w:u w:val="single" w:color="000000"/>
        </w:rPr>
        <w:t>CD10</w:t>
      </w:r>
      <w:r>
        <w:rPr>
          <w:rFonts w:cs="Calibri"/>
          <w:b/>
        </w:rPr>
        <w:t xml:space="preserve"> </w:t>
      </w:r>
      <w:r>
        <w:t xml:space="preserve">komt tot expressie op voorloper B-cellen, maar ook op voorloper T-cellen. CD10 expressie op Bcellen neemt af naarmate B-cellen differentiëren van onrijpe naar rijpe B-cellen. Transitionele B-cellen hebben nog expressie van CD10. Daarnaast komt CD10 tot expressie op germinal center B-cellen en neutrofiele granulocyten.  </w:t>
      </w:r>
    </w:p>
    <w:p w14:paraId="4C3A4AF7" w14:textId="77777777" w:rsidR="000A5B37" w:rsidRDefault="00000000">
      <w:pPr>
        <w:spacing w:after="0" w:line="259" w:lineRule="auto"/>
        <w:ind w:left="0" w:right="0" w:firstLine="0"/>
        <w:jc w:val="left"/>
      </w:pPr>
      <w:r>
        <w:rPr>
          <w:rFonts w:cs="Calibri"/>
          <w:b/>
        </w:rPr>
        <w:t xml:space="preserve"> </w:t>
      </w:r>
    </w:p>
    <w:p w14:paraId="735AB740" w14:textId="77777777" w:rsidR="000A5B37" w:rsidRDefault="00000000">
      <w:pPr>
        <w:ind w:left="-5" w:right="0"/>
      </w:pPr>
      <w:r>
        <w:rPr>
          <w:u w:val="single" w:color="000000"/>
        </w:rPr>
        <w:t>CD19</w:t>
      </w:r>
      <w:r>
        <w:rPr>
          <w:rFonts w:cs="Calibri"/>
          <w:b/>
        </w:rPr>
        <w:t xml:space="preserve"> </w:t>
      </w:r>
      <w:r>
        <w:t xml:space="preserve">is een marker om B-cellen te identificeren en wordt gezien als één van de lijn definiërende markers. CD19 komt tot expressie tijdens alle maturatie stadia van de B-cel.  CD19 maakt onderdeel uit van een (B-cel co-receptor) complex met CD21 en CD81.  </w:t>
      </w:r>
    </w:p>
    <w:p w14:paraId="7A350410" w14:textId="77777777" w:rsidR="000A5B37" w:rsidRDefault="00000000">
      <w:pPr>
        <w:spacing w:after="0" w:line="259" w:lineRule="auto"/>
        <w:ind w:left="0" w:right="0" w:firstLine="0"/>
        <w:jc w:val="left"/>
      </w:pPr>
      <w:r>
        <w:rPr>
          <w:rFonts w:cs="Calibri"/>
          <w:b/>
        </w:rPr>
        <w:t xml:space="preserve"> </w:t>
      </w:r>
    </w:p>
    <w:p w14:paraId="5EE9D6B7" w14:textId="77777777" w:rsidR="000A5B37" w:rsidRDefault="00000000">
      <w:pPr>
        <w:ind w:left="-5" w:right="0"/>
      </w:pPr>
      <w:r>
        <w:rPr>
          <w:u w:val="single" w:color="000000"/>
        </w:rPr>
        <w:t>CD20</w:t>
      </w:r>
      <w:r>
        <w:rPr>
          <w:rFonts w:cs="Calibri"/>
          <w:b/>
        </w:rPr>
        <w:t xml:space="preserve"> </w:t>
      </w:r>
      <w:r>
        <w:t xml:space="preserve">is een algemene B-cel marker die in verschillende ontwikkelingsstadia van de B-cel tot expressie komt: vanaf het stadium van de late pre-B-cel tot aan dat van mature en memory B-cellen. CD20 komt op plasmacellen/plasmablasten onvoldoende tot expressie om met anti-CD20 therapie gedepleteerd te worden. </w:t>
      </w:r>
    </w:p>
    <w:p w14:paraId="4BDF22E4" w14:textId="77777777" w:rsidR="000A5B37" w:rsidRDefault="00000000">
      <w:pPr>
        <w:spacing w:after="0" w:line="259" w:lineRule="auto"/>
        <w:ind w:left="0" w:right="0" w:firstLine="0"/>
        <w:jc w:val="left"/>
      </w:pPr>
      <w:r>
        <w:rPr>
          <w:rFonts w:cs="Calibri"/>
          <w:b/>
        </w:rPr>
        <w:t xml:space="preserve"> </w:t>
      </w:r>
    </w:p>
    <w:p w14:paraId="4A4A5AB2" w14:textId="77777777" w:rsidR="000A5B37" w:rsidRDefault="00000000">
      <w:pPr>
        <w:ind w:left="-5" w:right="0"/>
      </w:pPr>
      <w:r>
        <w:rPr>
          <w:u w:val="single" w:color="000000"/>
        </w:rPr>
        <w:t>CD21</w:t>
      </w:r>
      <w:r>
        <w:rPr>
          <w:rFonts w:cs="Calibri"/>
          <w:b/>
        </w:rPr>
        <w:t xml:space="preserve"> </w:t>
      </w:r>
      <w:r>
        <w:t xml:space="preserve">expressie is aanwezig op zowel naïeve als memory B-cellen. Vroege transitionele B-cellen, plasmablasten en plasmacellen hebben geen CD21 expressie. B-cellen met verlaagde/afwezige CD21 expressie kunnen sterk verhoogd zijn bij mensen met bepaalde virale en parasitaire infecties, CVID en auto-immuunziekten, het betreffen hier CD21 negatieve cellen die tevens CD38 negatief (en dus geen plasmablasten/plasmacellen) zijn. CD21 vormt samen met CD19 en CD81 een (B-cel co-receptor) complex.  </w:t>
      </w:r>
    </w:p>
    <w:p w14:paraId="21863EA6" w14:textId="77777777" w:rsidR="000A5B37" w:rsidRDefault="00000000">
      <w:pPr>
        <w:spacing w:after="0" w:line="259" w:lineRule="auto"/>
        <w:ind w:left="0" w:right="0" w:firstLine="0"/>
        <w:jc w:val="left"/>
      </w:pPr>
      <w:r>
        <w:t xml:space="preserve"> </w:t>
      </w:r>
    </w:p>
    <w:p w14:paraId="361E33EE" w14:textId="77777777" w:rsidR="000A5B37" w:rsidRDefault="00000000">
      <w:pPr>
        <w:ind w:left="-5" w:right="0"/>
      </w:pPr>
      <w:r>
        <w:rPr>
          <w:u w:val="single" w:color="000000"/>
        </w:rPr>
        <w:t>CD24</w:t>
      </w:r>
      <w:r>
        <w:rPr>
          <w:rFonts w:cs="Calibri"/>
          <w:b/>
        </w:rPr>
        <w:t xml:space="preserve"> </w:t>
      </w:r>
      <w:r>
        <w:t xml:space="preserve">is een B-cel differentiatie marker. CD24 expressie is hoog op transitionele B-cellen (naast CD38). CD24 komt niet tot expressie op plasmacellen. CD24 wordt ook door andere, zowel hematologische als niet-hematologische, cellen tot expressie gebracht, o.a. granulocyten en epitheelcellen. </w:t>
      </w:r>
    </w:p>
    <w:p w14:paraId="3FBB1232" w14:textId="77777777" w:rsidR="000A5B37" w:rsidRDefault="00000000">
      <w:pPr>
        <w:spacing w:after="0" w:line="259" w:lineRule="auto"/>
        <w:ind w:left="0" w:right="0" w:firstLine="0"/>
        <w:jc w:val="left"/>
      </w:pPr>
      <w:r>
        <w:rPr>
          <w:rFonts w:cs="Calibri"/>
          <w:b/>
        </w:rPr>
        <w:t xml:space="preserve"> </w:t>
      </w:r>
    </w:p>
    <w:p w14:paraId="06B5CEC0" w14:textId="77777777" w:rsidR="000A5B37" w:rsidRDefault="00000000">
      <w:pPr>
        <w:ind w:left="-5" w:right="0"/>
      </w:pPr>
      <w:r>
        <w:rPr>
          <w:u w:val="single" w:color="000000"/>
        </w:rPr>
        <w:t>CD27</w:t>
      </w:r>
      <w:r>
        <w:rPr>
          <w:rFonts w:cs="Calibri"/>
          <w:b/>
        </w:rPr>
        <w:t xml:space="preserve"> </w:t>
      </w:r>
      <w:r>
        <w:t>is marker voor memory B-cellen. In combinatie met IgD en/of IgM kan onderscheid gemaakt worden tussen niet-isotype geswitchte memory B-cellen (IgD</w:t>
      </w:r>
      <w:r>
        <w:rPr>
          <w:vertAlign w:val="superscript"/>
        </w:rPr>
        <w:t>+</w:t>
      </w:r>
      <w:r>
        <w:t>/CD27</w:t>
      </w:r>
      <w:r>
        <w:rPr>
          <w:vertAlign w:val="superscript"/>
        </w:rPr>
        <w:t>+</w:t>
      </w:r>
      <w:r>
        <w:t>) en isotype geswitchte memory B-cellen (IgD</w:t>
      </w:r>
      <w:r>
        <w:rPr>
          <w:vertAlign w:val="superscript"/>
        </w:rPr>
        <w:t>-</w:t>
      </w:r>
      <w:r>
        <w:t>/CD27</w:t>
      </w:r>
      <w:r>
        <w:rPr>
          <w:vertAlign w:val="superscript"/>
        </w:rPr>
        <w:t>+</w:t>
      </w:r>
      <w:r>
        <w:t xml:space="preserve">). Plasmablasten brengen tevens CD27 hoog tot expressie en kunnen hierdoor onterecht tot memory B-cellen worden gerekend. </w:t>
      </w:r>
    </w:p>
    <w:p w14:paraId="07C95347" w14:textId="77777777" w:rsidR="000A5B37" w:rsidRDefault="00000000">
      <w:pPr>
        <w:spacing w:after="0" w:line="259" w:lineRule="auto"/>
        <w:ind w:left="0" w:right="0" w:firstLine="0"/>
        <w:jc w:val="left"/>
      </w:pPr>
      <w:r>
        <w:rPr>
          <w:rFonts w:cs="Calibri"/>
          <w:b/>
        </w:rPr>
        <w:t xml:space="preserve"> </w:t>
      </w:r>
    </w:p>
    <w:p w14:paraId="518C6EC2" w14:textId="77777777" w:rsidR="000A5B37" w:rsidRDefault="00000000">
      <w:pPr>
        <w:ind w:left="-5" w:right="0"/>
      </w:pPr>
      <w:r>
        <w:rPr>
          <w:u w:val="single" w:color="000000"/>
        </w:rPr>
        <w:t>CD38</w:t>
      </w:r>
      <w:r>
        <w:rPr>
          <w:rFonts w:cs="Calibri"/>
          <w:b/>
        </w:rPr>
        <w:t xml:space="preserve"> </w:t>
      </w:r>
      <w:r>
        <w:t xml:space="preserve">is een marker die tot expressie komt op nagenoeg alle pre-B-cellen, transitionele B-cellen, plasmacellen (inclusief plasmablasten) en thymocyten. Om onderscheid te maken tussen transitionele B-cellen en plasmablasten kan CD38 gecombineerd worden met IgD, waarbij transitionele B-cellen, in tegenstelling tot plasmablasten, IgD expressie hebben. </w:t>
      </w:r>
    </w:p>
    <w:p w14:paraId="1381E983" w14:textId="77777777" w:rsidR="000A5B37" w:rsidRDefault="00000000">
      <w:pPr>
        <w:ind w:left="-5" w:right="0"/>
      </w:pPr>
      <w:r>
        <w:t>CD38 komt verder ook tot expressie op geactiveerde T-cellen, NK-cellen, myeloblasten en erytroblasten. Daarnaast is CD38 t</w:t>
      </w:r>
      <w:r>
        <w:rPr>
          <w:rFonts w:cs="Calibri"/>
        </w:rPr>
        <w:t xml:space="preserve">arget voor o.a. daratumumab en dit kan “shielding” geven van </w:t>
      </w:r>
      <w:r>
        <w:t xml:space="preserve">flowcytometrie antistoffen. </w:t>
      </w:r>
    </w:p>
    <w:p w14:paraId="79E802AE" w14:textId="77777777" w:rsidR="000A5B37" w:rsidRDefault="00000000">
      <w:pPr>
        <w:spacing w:after="0" w:line="259" w:lineRule="auto"/>
        <w:ind w:left="0" w:right="0" w:firstLine="0"/>
        <w:jc w:val="left"/>
      </w:pPr>
      <w:r>
        <w:t xml:space="preserve"> </w:t>
      </w:r>
    </w:p>
    <w:p w14:paraId="54BBC0F9" w14:textId="77777777" w:rsidR="000A5B37" w:rsidRDefault="00000000">
      <w:pPr>
        <w:ind w:left="-5" w:right="0"/>
      </w:pPr>
      <w:r>
        <w:rPr>
          <w:u w:val="single" w:color="000000"/>
        </w:rPr>
        <w:t>CD45</w:t>
      </w:r>
      <w:r>
        <w:rPr>
          <w:rFonts w:cs="Calibri"/>
          <w:b/>
        </w:rPr>
        <w:t xml:space="preserve"> </w:t>
      </w:r>
      <w:r>
        <w:t xml:space="preserve">wordt gebruikt als marker voor hematopoëtische cellen. Uitrijpende megakaryocyten en erytroïde cellen, alsook niet hematopoëtische cellen, zijn CD45 negatief.  CD45 kan daarmee gebruikt worden om de lymfocyten/leukocyten gate te zuiveren en de overige lymfocytensubset analyses te verbeteren.  </w:t>
      </w:r>
    </w:p>
    <w:p w14:paraId="41E702B9" w14:textId="77777777" w:rsidR="000A5B37" w:rsidRDefault="00000000">
      <w:pPr>
        <w:spacing w:after="0" w:line="259" w:lineRule="auto"/>
        <w:ind w:left="0" w:right="0" w:firstLine="0"/>
        <w:jc w:val="left"/>
      </w:pPr>
      <w:r>
        <w:lastRenderedPageBreak/>
        <w:t xml:space="preserve"> </w:t>
      </w:r>
    </w:p>
    <w:p w14:paraId="56604D1F" w14:textId="77777777" w:rsidR="000A5B37" w:rsidRDefault="00000000">
      <w:pPr>
        <w:ind w:left="-5" w:right="0"/>
      </w:pPr>
      <w:r>
        <w:rPr>
          <w:u w:val="single" w:color="000000"/>
        </w:rPr>
        <w:t>IgG, IgA en IgE</w:t>
      </w:r>
      <w:r>
        <w:t xml:space="preserve"> komt tot expressie op de isotype-geswitchte memory B-cellen en plasmacellen en brengen in de vorm van de B-cel receptor het antilichaam dat ze maken tot expressie respectievelijk op het oppervlak en in de intracellulaire ruimte van de cel. Elke memory B-cel en plasmacel brengt slechts 1 type B-celreceptor (en dus immuunglobuline) tot expressie. Een disbalans in de verhouding van de verschillende immuunglobuline klassen kan een aanwijzing zijn voor een immuundeficiëntie.  </w:t>
      </w:r>
    </w:p>
    <w:p w14:paraId="477B76E7" w14:textId="77777777" w:rsidR="000A5B37" w:rsidRDefault="00000000">
      <w:pPr>
        <w:spacing w:after="0" w:line="259" w:lineRule="auto"/>
        <w:ind w:left="0" w:right="0" w:firstLine="0"/>
        <w:jc w:val="left"/>
      </w:pPr>
      <w:r>
        <w:rPr>
          <w:rFonts w:cs="Calibri"/>
          <w:b/>
        </w:rPr>
        <w:t xml:space="preserve"> </w:t>
      </w:r>
    </w:p>
    <w:p w14:paraId="668D512F" w14:textId="77777777" w:rsidR="000A5B37" w:rsidRDefault="00000000">
      <w:pPr>
        <w:ind w:left="-5" w:right="0"/>
      </w:pPr>
      <w:r>
        <w:rPr>
          <w:u w:val="single" w:color="000000"/>
        </w:rPr>
        <w:t>IgM en IgD</w:t>
      </w:r>
      <w:r>
        <w:rPr>
          <w:rFonts w:cs="Calibri"/>
          <w:b/>
        </w:rPr>
        <w:t xml:space="preserve"> </w:t>
      </w:r>
      <w:r>
        <w:t>zie ook CD38 en CD27. IgM en IgD vormen een type BCR die voorkomt op niet-isotype geswitchte memory B-cellen. Voor IgM geldt dat deze ook tot expressie komt op IgM</w:t>
      </w:r>
      <w:r>
        <w:rPr>
          <w:vertAlign w:val="superscript"/>
        </w:rPr>
        <w:t>+</w:t>
      </w:r>
      <w:r>
        <w:t xml:space="preserve"> memory Bcellen. </w:t>
      </w:r>
    </w:p>
    <w:p w14:paraId="56706D09" w14:textId="77777777" w:rsidR="000A5B37" w:rsidRDefault="00000000">
      <w:pPr>
        <w:spacing w:after="0" w:line="259" w:lineRule="auto"/>
        <w:ind w:left="0" w:right="0" w:firstLine="0"/>
        <w:jc w:val="left"/>
      </w:pPr>
      <w:r>
        <w:t xml:space="preserve"> </w:t>
      </w:r>
    </w:p>
    <w:p w14:paraId="3213E0DD" w14:textId="77777777" w:rsidR="000A5B37" w:rsidRDefault="00000000">
      <w:pPr>
        <w:ind w:left="-5" w:right="0"/>
      </w:pPr>
      <w:r>
        <w:t xml:space="preserve">2.3. T-cel marker motivatie  </w:t>
      </w:r>
    </w:p>
    <w:p w14:paraId="3FA65C05" w14:textId="77777777" w:rsidR="000A5B37" w:rsidRDefault="00000000">
      <w:pPr>
        <w:ind w:left="-5" w:right="0"/>
      </w:pPr>
      <w:r>
        <w:rPr>
          <w:u w:val="single" w:color="000000"/>
        </w:rPr>
        <w:t>CD3</w:t>
      </w:r>
      <w:r>
        <w:t xml:space="preserve"> is een marker om T-cellen te identificeren. Zowel T-</w:t>
      </w:r>
      <w:r>
        <w:rPr>
          <w:rFonts w:cs="Calibri"/>
        </w:rPr>
        <w:t>cellen met een αβ T</w:t>
      </w:r>
      <w:r>
        <w:t>-</w:t>
      </w:r>
      <w:r>
        <w:rPr>
          <w:rFonts w:cs="Calibri"/>
        </w:rPr>
        <w:t>cel receptor als een γδ Tcel receptor brengen constitutief CD3 tot expressie. Hoewel de CD3 expressie op γδ T</w:t>
      </w:r>
      <w:r>
        <w:t xml:space="preserve">-cellen hoger is </w:t>
      </w:r>
      <w:r>
        <w:rPr>
          <w:rFonts w:cs="Calibri"/>
        </w:rPr>
        <w:t>dan op αβ T</w:t>
      </w:r>
      <w:r>
        <w:t xml:space="preserve">-cellen, is het verschil niet altijd groot genoeg om beide subsets van elkaar te onderscheiden. </w:t>
      </w:r>
    </w:p>
    <w:p w14:paraId="6C250E92" w14:textId="77777777" w:rsidR="000A5B37" w:rsidRDefault="00000000">
      <w:pPr>
        <w:ind w:left="-5" w:right="0"/>
      </w:pPr>
      <w:r>
        <w:rPr>
          <w:u w:val="single" w:color="000000"/>
        </w:rPr>
        <w:t>CD25</w:t>
      </w:r>
      <w:r>
        <w:t xml:space="preserve"> is de IL-</w:t>
      </w:r>
      <w:r>
        <w:rPr>
          <w:rFonts w:cs="Calibri"/>
        </w:rPr>
        <w:t>2Rα keten van de hoog</w:t>
      </w:r>
      <w:r>
        <w:t>-affiene IL-2 receptor. Regulatoire T-cellen hebben een hoge, constitutieve expressie van CD25, terwijl conventionele T-cellen CD25 tot expressie brengen na activatie. Ook andere leukocyten kunnen CD25 tot expressie brengen. Om onderscheid te maken tussen regulatoire T-cellen en geactiveerde conventionele T-cellen kan CD25 gecombineerd worden met CD127 (IL-</w:t>
      </w:r>
      <w:r>
        <w:rPr>
          <w:rFonts w:cs="Calibri"/>
        </w:rPr>
        <w:t>7Rα keten), waarbij regulatoire T</w:t>
      </w:r>
      <w:r>
        <w:t xml:space="preserve">-cellen, in tegenstelling tot conventionele T-cellen, een lage CD127 expressie hebben. </w:t>
      </w:r>
    </w:p>
    <w:p w14:paraId="64ACE050" w14:textId="77777777" w:rsidR="000A5B37" w:rsidRDefault="00000000">
      <w:pPr>
        <w:spacing w:after="0" w:line="259" w:lineRule="auto"/>
        <w:ind w:left="0" w:right="0" w:firstLine="0"/>
        <w:jc w:val="left"/>
      </w:pPr>
      <w:r>
        <w:t xml:space="preserve"> </w:t>
      </w:r>
    </w:p>
    <w:p w14:paraId="57263ED8" w14:textId="77777777" w:rsidR="000A5B37" w:rsidRDefault="00000000">
      <w:pPr>
        <w:spacing w:after="31"/>
        <w:ind w:left="-5" w:right="0"/>
      </w:pPr>
      <w:r>
        <w:rPr>
          <w:u w:val="single" w:color="000000"/>
        </w:rPr>
        <w:t>CD27</w:t>
      </w:r>
      <w:r>
        <w:rPr>
          <w:rFonts w:cs="Calibri"/>
          <w:b/>
        </w:rPr>
        <w:t xml:space="preserve"> </w:t>
      </w:r>
      <w:r>
        <w:t xml:space="preserve">is een lid van de tumor necrosis factor receptor (TNFR) superfamilie en dient als een belangrijke marker in de immunologie, met name bij het identificeren van verschillende stadia van T-cel differentiatie en activatie. CD27 wordt tot expressie gebracht door naïeve T-cellen en het verlies van CD27 is gerapporteerd als een kenmerk van het effector fenotype van T-cellen. CD27 wordt gebruikt als biomarker voor het identificeren en kwantificeren van verschillende T-cel subsets bij diverse ziekten, waaronder infecties, auto-immuunziekten en kanker. </w:t>
      </w:r>
    </w:p>
    <w:p w14:paraId="7145BFE1" w14:textId="77777777" w:rsidR="000A5B37" w:rsidRDefault="00000000">
      <w:pPr>
        <w:spacing w:after="0" w:line="259" w:lineRule="auto"/>
        <w:ind w:left="0" w:right="0" w:firstLine="0"/>
        <w:jc w:val="left"/>
      </w:pPr>
      <w:r>
        <w:rPr>
          <w:sz w:val="20"/>
        </w:rPr>
        <w:t xml:space="preserve">   </w:t>
      </w:r>
      <w:r>
        <w:rPr>
          <w:sz w:val="24"/>
        </w:rPr>
        <w:t xml:space="preserve"> </w:t>
      </w:r>
    </w:p>
    <w:p w14:paraId="1BDF0BA8" w14:textId="77777777" w:rsidR="000A5B37" w:rsidRDefault="00000000">
      <w:pPr>
        <w:ind w:left="-5" w:right="0"/>
      </w:pPr>
      <w:r>
        <w:rPr>
          <w:u w:val="single" w:color="000000"/>
        </w:rPr>
        <w:t>CD28</w:t>
      </w:r>
      <w:r>
        <w:rPr>
          <w:rFonts w:cs="Calibri"/>
          <w:b/>
        </w:rPr>
        <w:t xml:space="preserve"> </w:t>
      </w:r>
      <w:r>
        <w:t>is een co-stimulerend molecuul dat constitutief tot expressie wordt gebracht op de meeste CD4</w:t>
      </w:r>
      <w:r>
        <w:rPr>
          <w:vertAlign w:val="superscript"/>
        </w:rPr>
        <w:t>+</w:t>
      </w:r>
      <w:r>
        <w:t xml:space="preserve"> T-cellen en op een groot deel van de CD8</w:t>
      </w:r>
      <w:r>
        <w:rPr>
          <w:vertAlign w:val="superscript"/>
        </w:rPr>
        <w:t>+</w:t>
      </w:r>
      <w:r>
        <w:t xml:space="preserve"> T-cellen. Hoge expressie wordt met name gevonden op naïeve T-cellen en met toenemende T-cel differentiatie neemt de expressie af. Als gevolg van chronische inflammatie kan de expressie van CD28 op T-cellen afnemen bij sommige individuen. </w:t>
      </w:r>
    </w:p>
    <w:p w14:paraId="56CEFBAE" w14:textId="77777777" w:rsidR="000A5B37" w:rsidRDefault="00000000">
      <w:pPr>
        <w:spacing w:after="0" w:line="259" w:lineRule="auto"/>
        <w:ind w:left="0" w:right="0" w:firstLine="0"/>
        <w:jc w:val="left"/>
      </w:pPr>
      <w:r>
        <w:t xml:space="preserve"> </w:t>
      </w:r>
    </w:p>
    <w:p w14:paraId="5D9A1F45" w14:textId="77777777" w:rsidR="000A5B37" w:rsidRDefault="00000000">
      <w:pPr>
        <w:spacing w:after="1" w:line="255" w:lineRule="auto"/>
        <w:ind w:left="-5" w:right="-12"/>
        <w:jc w:val="left"/>
      </w:pPr>
      <w:r>
        <w:rPr>
          <w:u w:val="single" w:color="000000"/>
        </w:rPr>
        <w:t>CD31</w:t>
      </w:r>
      <w:r>
        <w:rPr>
          <w:rFonts w:cs="Calibri"/>
          <w:b/>
        </w:rPr>
        <w:t xml:space="preserve"> </w:t>
      </w:r>
      <w:r>
        <w:t>is binnen de CD4</w:t>
      </w:r>
      <w:r>
        <w:rPr>
          <w:vertAlign w:val="superscript"/>
        </w:rPr>
        <w:t>+</w:t>
      </w:r>
      <w:r>
        <w:t xml:space="preserve"> T-cel populatie een marker voor cellen die recent de thymus hebben verlaten, de zogenoemde recente thymus-emigranten. De naïeve CD4</w:t>
      </w:r>
      <w:r>
        <w:rPr>
          <w:vertAlign w:val="superscript"/>
        </w:rPr>
        <w:t>+</w:t>
      </w:r>
      <w:r>
        <w:t xml:space="preserve"> T-cellen die CD31 tot expressie brengen zijn relatief jong. Dit geldt niet voor CD8</w:t>
      </w:r>
      <w:r>
        <w:rPr>
          <w:vertAlign w:val="superscript"/>
        </w:rPr>
        <w:t>+</w:t>
      </w:r>
      <w:r>
        <w:t xml:space="preserve"> T-cellen en TCR</w:t>
      </w:r>
      <w:r>
        <w:rPr>
          <w:rFonts w:cs="Calibri"/>
        </w:rPr>
        <w:t xml:space="preserve">γδ </w:t>
      </w:r>
      <w:r>
        <w:t xml:space="preserve">T-cellen.  </w:t>
      </w:r>
    </w:p>
    <w:p w14:paraId="7CAE8AD5" w14:textId="77777777" w:rsidR="000A5B37" w:rsidRDefault="00000000">
      <w:pPr>
        <w:spacing w:after="0" w:line="259" w:lineRule="auto"/>
        <w:ind w:left="0" w:right="0" w:firstLine="0"/>
        <w:jc w:val="left"/>
      </w:pPr>
      <w:r>
        <w:t xml:space="preserve"> </w:t>
      </w:r>
    </w:p>
    <w:p w14:paraId="4F10F561" w14:textId="77777777" w:rsidR="000A5B37" w:rsidRDefault="00000000">
      <w:pPr>
        <w:ind w:left="-5" w:right="0"/>
      </w:pPr>
      <w:r>
        <w:rPr>
          <w:u w:val="single" w:color="000000"/>
        </w:rPr>
        <w:t>CD38</w:t>
      </w:r>
      <w:r>
        <w:rPr>
          <w:rFonts w:cs="Calibri"/>
          <w:b/>
        </w:rPr>
        <w:t xml:space="preserve"> </w:t>
      </w:r>
      <w:r>
        <w:t>is een marker welke tot expressie kan komen op onder andere T-cellen. Binnen de T-cel</w:t>
      </w:r>
      <w:r>
        <w:rPr>
          <w:rFonts w:cs="Calibri"/>
          <w:b/>
        </w:rPr>
        <w:t xml:space="preserve"> </w:t>
      </w:r>
      <w:r>
        <w:t xml:space="preserve">populatie kan het toegepast worden als activatie marker. Daarnaast komt CD38 tot expressie op NK-cellen, Bcellen, myeloblasten en erytroblasten. </w:t>
      </w:r>
    </w:p>
    <w:p w14:paraId="58A26892" w14:textId="77777777" w:rsidR="000A5B37" w:rsidRDefault="00000000">
      <w:pPr>
        <w:spacing w:after="0" w:line="259" w:lineRule="auto"/>
        <w:ind w:left="0" w:right="0" w:firstLine="0"/>
        <w:jc w:val="left"/>
      </w:pPr>
      <w:r>
        <w:t xml:space="preserve"> </w:t>
      </w:r>
    </w:p>
    <w:p w14:paraId="69929D2D" w14:textId="77777777" w:rsidR="000A5B37" w:rsidRDefault="00000000">
      <w:pPr>
        <w:ind w:left="-5" w:right="0"/>
      </w:pPr>
      <w:r>
        <w:rPr>
          <w:u w:val="single" w:color="000000"/>
        </w:rPr>
        <w:t>CD45</w:t>
      </w:r>
      <w:r>
        <w:rPr>
          <w:rFonts w:cs="Calibri"/>
          <w:b/>
        </w:rPr>
        <w:t xml:space="preserve"> </w:t>
      </w:r>
      <w:r>
        <w:t xml:space="preserve">zie onderdeel 2.2. B-cel marker motivatie. </w:t>
      </w:r>
    </w:p>
    <w:p w14:paraId="38A4B604" w14:textId="77777777" w:rsidR="000A5B37" w:rsidRDefault="00000000">
      <w:pPr>
        <w:spacing w:after="0" w:line="259" w:lineRule="auto"/>
        <w:ind w:left="0" w:right="0" w:firstLine="0"/>
        <w:jc w:val="left"/>
      </w:pPr>
      <w:r>
        <w:t xml:space="preserve"> </w:t>
      </w:r>
    </w:p>
    <w:p w14:paraId="21E79C29" w14:textId="77777777" w:rsidR="000A5B37" w:rsidRDefault="00000000">
      <w:pPr>
        <w:spacing w:after="40"/>
        <w:ind w:left="-5" w:right="0"/>
      </w:pPr>
      <w:r>
        <w:rPr>
          <w:u w:val="single" w:color="000000"/>
        </w:rPr>
        <w:t>CD45RA en CD45R0</w:t>
      </w:r>
      <w:r>
        <w:t xml:space="preserve"> zijn varianten van het CD45 molecuul die ontstaan door differentiële splicing. CD45R0 (R-nul) heeft geen extra domeinen in tegenstelling tot CD45RA met drie extra domeinen, waarbij het A-domein het extra-cellulaire uiteinde vormt. CD45RA komt tot expressie op naïeve Tcellen en ver-gedifferentieerde T-cellen. Bij de transitie naar memory T-cellen is er geleidelijk verlies van CD45RA en komt CD45R0 tot expressie. Het onderscheid tussen naïeve en memory T-cellen op basis van deze markers kent een aantal cruciale beperkingen: </w:t>
      </w:r>
    </w:p>
    <w:p w14:paraId="4D5E892A" w14:textId="77777777" w:rsidR="000A5B37" w:rsidRDefault="00000000">
      <w:pPr>
        <w:numPr>
          <w:ilvl w:val="0"/>
          <w:numId w:val="2"/>
        </w:numPr>
        <w:spacing w:after="28"/>
        <w:ind w:right="0" w:hanging="360"/>
      </w:pPr>
      <w:r>
        <w:lastRenderedPageBreak/>
        <w:t xml:space="preserve">In de overgang van naïef naar memory hebben de T-cellen een intermediate fenotype; voor harmonisatie is het van belang eenduidige afspraken te maken over de indeling van deze cellen bij het naïeve of memory T-cel compartiment, afhankelijk van het gebruik van CD45RA of CD45R0 als marker (zie ook Bijlage 1). </w:t>
      </w:r>
    </w:p>
    <w:p w14:paraId="3EC0F9E8" w14:textId="77777777" w:rsidR="000A5B37" w:rsidRDefault="00000000">
      <w:pPr>
        <w:numPr>
          <w:ilvl w:val="0"/>
          <w:numId w:val="2"/>
        </w:numPr>
        <w:spacing w:after="39"/>
        <w:ind w:right="0" w:hanging="360"/>
      </w:pPr>
      <w:r>
        <w:t>Chronisch gestimuleerde T-cellen, met name CD8</w:t>
      </w:r>
      <w:r>
        <w:rPr>
          <w:vertAlign w:val="superscript"/>
        </w:rPr>
        <w:t>+</w:t>
      </w:r>
      <w:r>
        <w:t xml:space="preserve"> T-cellen maar ook CD4</w:t>
      </w:r>
      <w:r>
        <w:rPr>
          <w:vertAlign w:val="superscript"/>
        </w:rPr>
        <w:t>+</w:t>
      </w:r>
      <w:r>
        <w:t xml:space="preserve"> T-cellen, die hun costimulatoire markers CD27 en/of CD28 verliezen, kunnen opnieuw CD45RA tot expressie brengen. Deze cellen dienen niet abusievelijk als naïeve T-cellen aangemerkt te worden. </w:t>
      </w:r>
    </w:p>
    <w:p w14:paraId="0C401778" w14:textId="77777777" w:rsidR="000A5B37" w:rsidRDefault="00000000">
      <w:pPr>
        <w:numPr>
          <w:ilvl w:val="0"/>
          <w:numId w:val="2"/>
        </w:numPr>
        <w:ind w:right="0" w:hanging="360"/>
      </w:pPr>
      <w:r>
        <w:t xml:space="preserve">Sommige mensen hebben een zogeheten CD45RA-afschakel defect waardoor CD45RA, in tegenstelling tot CD45R0, geen onderscheid maakt tussen naïeve en memory T-cellen. </w:t>
      </w:r>
    </w:p>
    <w:p w14:paraId="11D11670" w14:textId="77777777" w:rsidR="000A5B37" w:rsidRDefault="00000000">
      <w:pPr>
        <w:spacing w:after="0" w:line="259" w:lineRule="auto"/>
        <w:ind w:left="720" w:right="0" w:firstLine="0"/>
        <w:jc w:val="left"/>
      </w:pPr>
      <w:r>
        <w:t xml:space="preserve">  </w:t>
      </w:r>
    </w:p>
    <w:p w14:paraId="1D5670E0" w14:textId="77777777" w:rsidR="000A5B37" w:rsidRDefault="00000000">
      <w:pPr>
        <w:ind w:left="-5" w:right="0"/>
      </w:pPr>
      <w:r>
        <w:rPr>
          <w:u w:val="single" w:color="000000"/>
        </w:rPr>
        <w:t>CD127</w:t>
      </w:r>
      <w:r>
        <w:t xml:space="preserve"> is de IL-</w:t>
      </w:r>
      <w:r>
        <w:rPr>
          <w:rFonts w:cs="Calibri"/>
        </w:rPr>
        <w:t>7Rα keten van de IL</w:t>
      </w:r>
      <w:r>
        <w:t xml:space="preserve">-7 receptor. Regulatoire T-cellen hebben, in tegenstelling tot conventionele T-cellen, een lage CD127 expressie. In combinatie met CD25 kan CD127 gebruikt worden om regulatoire T-cellen te identificeren. Bij een IPEX vraagstelling dient voor het identificeren van regulatoire T-cellen FOXP3 als marker gebruikt te worden (zie onder).  </w:t>
      </w:r>
    </w:p>
    <w:p w14:paraId="1834FEF8" w14:textId="77777777" w:rsidR="000A5B37" w:rsidRDefault="00000000">
      <w:pPr>
        <w:spacing w:after="0" w:line="259" w:lineRule="auto"/>
        <w:ind w:left="0" w:right="0" w:firstLine="0"/>
        <w:jc w:val="left"/>
      </w:pPr>
      <w:r>
        <w:t xml:space="preserve"> </w:t>
      </w:r>
    </w:p>
    <w:p w14:paraId="44262F69" w14:textId="77777777" w:rsidR="000A5B37" w:rsidRDefault="00000000">
      <w:pPr>
        <w:ind w:left="-5" w:right="0"/>
      </w:pPr>
      <w:r>
        <w:rPr>
          <w:u w:val="single" w:color="000000"/>
        </w:rPr>
        <w:t>CD197</w:t>
      </w:r>
      <w:r>
        <w:t xml:space="preserve"> is een chemokine receptor (CCR7) welke een belangrijke rol speelt in de homing van bepaalde subpopulaties van T-cellen en antigeen-presenterende cellen. Binnen de T-cel populatie komt CD197 tot expressie op naïeve T-cellen en central memory T-cellen. </w:t>
      </w:r>
    </w:p>
    <w:p w14:paraId="07F59548" w14:textId="77777777" w:rsidR="000A5B37" w:rsidRDefault="00000000">
      <w:pPr>
        <w:spacing w:after="0" w:line="259" w:lineRule="auto"/>
        <w:ind w:left="0" w:right="0" w:firstLine="0"/>
        <w:jc w:val="left"/>
      </w:pPr>
      <w:r>
        <w:t xml:space="preserve"> </w:t>
      </w:r>
    </w:p>
    <w:p w14:paraId="736C9F3B" w14:textId="77777777" w:rsidR="000A5B37" w:rsidRDefault="00000000">
      <w:pPr>
        <w:ind w:left="-5" w:right="0"/>
      </w:pPr>
      <w:r>
        <w:rPr>
          <w:rFonts w:cs="Calibri"/>
          <w:u w:val="single" w:color="000000"/>
        </w:rPr>
        <w:t>TCRαβ en TCRγδ</w:t>
      </w:r>
      <w:r>
        <w:t xml:space="preserve"> zijn de antigeen-specifieke receptoren van de T-cellen. T-cellen brengen slechts één van deze twee TCR types tot expressie en daarom is één marker voldoende om binnen de CD3positieve populatie onderscheid te maken tussen TCR</w:t>
      </w:r>
      <w:r>
        <w:rPr>
          <w:rFonts w:cs="Calibri"/>
        </w:rPr>
        <w:t>αβ T</w:t>
      </w:r>
      <w:r>
        <w:t>-cellen en TCR</w:t>
      </w:r>
      <w:r>
        <w:rPr>
          <w:rFonts w:cs="Calibri"/>
        </w:rPr>
        <w:t>γδ T</w:t>
      </w:r>
      <w:r>
        <w:t xml:space="preserve">-cellen. </w:t>
      </w:r>
    </w:p>
    <w:p w14:paraId="29257D7E" w14:textId="77777777" w:rsidR="000A5B37" w:rsidRDefault="00000000">
      <w:pPr>
        <w:spacing w:after="0" w:line="259" w:lineRule="auto"/>
        <w:ind w:left="0" w:right="0" w:firstLine="0"/>
        <w:jc w:val="left"/>
      </w:pPr>
      <w:r>
        <w:t xml:space="preserve"> </w:t>
      </w:r>
    </w:p>
    <w:p w14:paraId="1E4C0359" w14:textId="77777777" w:rsidR="000A5B37" w:rsidRDefault="00000000">
      <w:pPr>
        <w:ind w:left="-5" w:right="0"/>
      </w:pPr>
      <w:r>
        <w:rPr>
          <w:u w:val="single" w:color="000000"/>
        </w:rPr>
        <w:t>HLA-DR</w:t>
      </w:r>
      <w:r>
        <w:t xml:space="preserve"> is een eiwit behorende tot de HLA-klasse-II moleculen dat tot expressie komt op met name antigeen-presenterende cellen, zoals monocyten en B-cellen. Expressie van HLA-DR op T-cellen kan, net als CD38, gezien worden als een activatie marker en gebruikt worden om T-cel activatie te bepalen. </w:t>
      </w:r>
    </w:p>
    <w:p w14:paraId="65292620" w14:textId="77777777" w:rsidR="000A5B37" w:rsidRDefault="00000000">
      <w:pPr>
        <w:spacing w:after="0" w:line="259" w:lineRule="auto"/>
        <w:ind w:left="0" w:right="0" w:firstLine="0"/>
        <w:jc w:val="left"/>
      </w:pPr>
      <w:r>
        <w:t xml:space="preserve"> </w:t>
      </w:r>
    </w:p>
    <w:p w14:paraId="76A88DB0" w14:textId="77777777" w:rsidR="000A5B37" w:rsidRDefault="00000000">
      <w:pPr>
        <w:ind w:left="-5" w:right="0"/>
      </w:pPr>
      <w:r>
        <w:rPr>
          <w:u w:val="single" w:color="000000"/>
        </w:rPr>
        <w:t>FOXP3</w:t>
      </w:r>
      <w:r>
        <w:t xml:space="preserve"> is een transcriptiefactor welke een belangrijke rol speelt in de ontwikkeling en functie van regulatoire T-cellen. Dit eiwit kan middels een intracellulaire kleuring gebruikt worden om regulatoire T-cellen te identificeren.  </w:t>
      </w:r>
    </w:p>
    <w:p w14:paraId="3B5080A4" w14:textId="77777777" w:rsidR="000A5B37" w:rsidRDefault="00000000">
      <w:pPr>
        <w:spacing w:after="0" w:line="259" w:lineRule="auto"/>
        <w:ind w:left="0" w:right="0" w:firstLine="0"/>
        <w:jc w:val="left"/>
      </w:pPr>
      <w:r>
        <w:t xml:space="preserve"> </w:t>
      </w:r>
    </w:p>
    <w:p w14:paraId="1A63D60B" w14:textId="77777777" w:rsidR="000A5B37" w:rsidRDefault="00000000">
      <w:pPr>
        <w:pStyle w:val="Kop1"/>
        <w:ind w:left="208" w:hanging="223"/>
      </w:pPr>
      <w:r>
        <w:t xml:space="preserve">Fluorchromen </w:t>
      </w:r>
    </w:p>
    <w:p w14:paraId="03171BE6" w14:textId="77777777" w:rsidR="000A5B37" w:rsidRDefault="00000000">
      <w:pPr>
        <w:ind w:left="-5" w:right="0"/>
      </w:pPr>
      <w:r>
        <w:t xml:space="preserve">Door de NVC is een handreiking opgesteld voor de keuze van fluorochromen voor flowcytometrische immuunfenotypering. Deze is terug te vinden via onderstaande link. </w:t>
      </w:r>
    </w:p>
    <w:p w14:paraId="2895E700" w14:textId="77777777" w:rsidR="000A5B37" w:rsidRDefault="00000000">
      <w:pPr>
        <w:spacing w:after="0" w:line="259" w:lineRule="auto"/>
        <w:ind w:left="0" w:right="0" w:firstLine="0"/>
        <w:jc w:val="left"/>
      </w:pPr>
      <w:hyperlink r:id="rId7">
        <w:r>
          <w:rPr>
            <w:color w:val="0563C1"/>
            <w:u w:val="single" w:color="0563C1"/>
          </w:rPr>
          <w:t>https://cytometrie.nl/werkgroup/HandreikingSelectie%20van%20fluorochromen%20voor%20IFT.pdf</w:t>
        </w:r>
      </w:hyperlink>
      <w:hyperlink r:id="rId8">
        <w:r>
          <w:t xml:space="preserve"> </w:t>
        </w:r>
      </w:hyperlink>
    </w:p>
    <w:p w14:paraId="19CBB76F" w14:textId="77777777" w:rsidR="000A5B37" w:rsidRDefault="00000000">
      <w:pPr>
        <w:spacing w:after="0" w:line="259" w:lineRule="auto"/>
        <w:ind w:left="0" w:right="0" w:firstLine="0"/>
        <w:jc w:val="left"/>
      </w:pPr>
      <w:r>
        <w:rPr>
          <w:rFonts w:cs="Calibri"/>
          <w:b/>
          <w:sz w:val="20"/>
        </w:rPr>
        <w:t xml:space="preserve"> </w:t>
      </w:r>
    </w:p>
    <w:p w14:paraId="3748CBEE" w14:textId="77777777" w:rsidR="000A5B37" w:rsidRDefault="00000000">
      <w:pPr>
        <w:pStyle w:val="Kop1"/>
        <w:ind w:left="206" w:hanging="221"/>
      </w:pPr>
      <w:proofErr w:type="spellStart"/>
      <w:r>
        <w:t>Gating</w:t>
      </w:r>
      <w:proofErr w:type="spellEnd"/>
      <w:r>
        <w:t xml:space="preserve"> strategie </w:t>
      </w:r>
    </w:p>
    <w:p w14:paraId="7EC4428C" w14:textId="77777777" w:rsidR="000A5B37" w:rsidRDefault="00000000">
      <w:pPr>
        <w:ind w:left="-5" w:right="0"/>
      </w:pPr>
      <w:r>
        <w:t xml:space="preserve">In Bijlage 1 zijn voorbeelden opgenomen van gating strategieën voor de B- en T-cel analyses. De volgende definities van de verschillende populaties worden aangehouden: </w:t>
      </w:r>
    </w:p>
    <w:p w14:paraId="4A39F3F0" w14:textId="77777777" w:rsidR="000A5B37" w:rsidRDefault="00000000">
      <w:pPr>
        <w:spacing w:after="0" w:line="259" w:lineRule="auto"/>
        <w:ind w:left="0" w:right="0" w:firstLine="0"/>
        <w:jc w:val="left"/>
      </w:pPr>
      <w:r>
        <w:t xml:space="preserve"> </w:t>
      </w:r>
    </w:p>
    <w:p w14:paraId="2C501A6D" w14:textId="77777777" w:rsidR="000A5B37" w:rsidRDefault="00000000">
      <w:pPr>
        <w:ind w:left="-5" w:right="0"/>
      </w:pPr>
      <w:r>
        <w:t xml:space="preserve">Tabel 5. Lymfocyten </w:t>
      </w:r>
    </w:p>
    <w:tbl>
      <w:tblPr>
        <w:tblStyle w:val="TableGrid"/>
        <w:tblW w:w="7649" w:type="dxa"/>
        <w:tblInd w:w="7" w:type="dxa"/>
        <w:tblCellMar>
          <w:top w:w="45" w:type="dxa"/>
          <w:left w:w="108" w:type="dxa"/>
          <w:bottom w:w="0" w:type="dxa"/>
          <w:right w:w="115" w:type="dxa"/>
        </w:tblCellMar>
        <w:tblLook w:val="04A0" w:firstRow="1" w:lastRow="0" w:firstColumn="1" w:lastColumn="0" w:noHBand="0" w:noVBand="1"/>
      </w:tblPr>
      <w:tblGrid>
        <w:gridCol w:w="3824"/>
        <w:gridCol w:w="3825"/>
      </w:tblGrid>
      <w:tr w:rsidR="000A5B37" w14:paraId="51D2323A" w14:textId="77777777">
        <w:trPr>
          <w:trHeight w:val="334"/>
        </w:trPr>
        <w:tc>
          <w:tcPr>
            <w:tcW w:w="3824" w:type="dxa"/>
            <w:tcBorders>
              <w:top w:val="single" w:sz="4" w:space="0" w:color="B4C6E7"/>
              <w:left w:val="single" w:sz="4" w:space="0" w:color="B4C6E7"/>
              <w:bottom w:val="single" w:sz="12" w:space="0" w:color="8EAADB"/>
              <w:right w:val="single" w:sz="4" w:space="0" w:color="B4C6E7"/>
            </w:tcBorders>
            <w:shd w:val="clear" w:color="auto" w:fill="F2F2F2"/>
          </w:tcPr>
          <w:p w14:paraId="18129214" w14:textId="77777777" w:rsidR="000A5B37" w:rsidRDefault="00000000">
            <w:pPr>
              <w:spacing w:after="0" w:line="259" w:lineRule="auto"/>
              <w:ind w:left="0" w:right="0" w:firstLine="0"/>
              <w:jc w:val="left"/>
            </w:pPr>
            <w:r>
              <w:rPr>
                <w:b/>
                <w:sz w:val="20"/>
              </w:rPr>
              <w:t xml:space="preserve">Subset </w:t>
            </w:r>
          </w:p>
        </w:tc>
        <w:tc>
          <w:tcPr>
            <w:tcW w:w="3825" w:type="dxa"/>
            <w:tcBorders>
              <w:top w:val="single" w:sz="4" w:space="0" w:color="B4C6E7"/>
              <w:left w:val="single" w:sz="4" w:space="0" w:color="B4C6E7"/>
              <w:bottom w:val="single" w:sz="12" w:space="0" w:color="8EAADB"/>
              <w:right w:val="single" w:sz="4" w:space="0" w:color="B4C6E7"/>
            </w:tcBorders>
            <w:shd w:val="clear" w:color="auto" w:fill="F2F2F2"/>
          </w:tcPr>
          <w:p w14:paraId="1B7AD1E0" w14:textId="77777777" w:rsidR="000A5B37" w:rsidRDefault="00000000">
            <w:pPr>
              <w:spacing w:after="0" w:line="259" w:lineRule="auto"/>
              <w:ind w:left="0" w:right="0" w:firstLine="0"/>
              <w:jc w:val="left"/>
            </w:pPr>
            <w:r>
              <w:rPr>
                <w:b/>
                <w:sz w:val="20"/>
              </w:rPr>
              <w:t xml:space="preserve">Markers </w:t>
            </w:r>
          </w:p>
        </w:tc>
      </w:tr>
      <w:tr w:rsidR="000A5B37" w14:paraId="056615E0" w14:textId="77777777">
        <w:trPr>
          <w:trHeight w:val="342"/>
        </w:trPr>
        <w:tc>
          <w:tcPr>
            <w:tcW w:w="3824" w:type="dxa"/>
            <w:tcBorders>
              <w:top w:val="single" w:sz="12" w:space="0" w:color="8EAADB"/>
              <w:left w:val="single" w:sz="4" w:space="0" w:color="B4C6E7"/>
              <w:bottom w:val="single" w:sz="4" w:space="0" w:color="B4C6E7"/>
              <w:right w:val="single" w:sz="4" w:space="0" w:color="B4C6E7"/>
            </w:tcBorders>
          </w:tcPr>
          <w:p w14:paraId="07DDA939" w14:textId="77777777" w:rsidR="000A5B37" w:rsidRDefault="00000000">
            <w:pPr>
              <w:spacing w:after="0" w:line="259" w:lineRule="auto"/>
              <w:ind w:left="0" w:right="0" w:firstLine="0"/>
              <w:jc w:val="left"/>
            </w:pPr>
            <w:r>
              <w:rPr>
                <w:sz w:val="20"/>
              </w:rPr>
              <w:t>CD3</w:t>
            </w:r>
            <w:r>
              <w:rPr>
                <w:sz w:val="20"/>
                <w:vertAlign w:val="superscript"/>
              </w:rPr>
              <w:t>+</w:t>
            </w:r>
            <w:r>
              <w:rPr>
                <w:sz w:val="20"/>
              </w:rPr>
              <w:t xml:space="preserve"> T-cellen </w:t>
            </w:r>
          </w:p>
        </w:tc>
        <w:tc>
          <w:tcPr>
            <w:tcW w:w="3825" w:type="dxa"/>
            <w:tcBorders>
              <w:top w:val="single" w:sz="12" w:space="0" w:color="8EAADB"/>
              <w:left w:val="single" w:sz="4" w:space="0" w:color="B4C6E7"/>
              <w:bottom w:val="single" w:sz="4" w:space="0" w:color="B4C6E7"/>
              <w:right w:val="single" w:sz="4" w:space="0" w:color="B4C6E7"/>
            </w:tcBorders>
          </w:tcPr>
          <w:p w14:paraId="5DB1B47D" w14:textId="77777777" w:rsidR="000A5B37" w:rsidRDefault="00000000">
            <w:pPr>
              <w:spacing w:after="0" w:line="259" w:lineRule="auto"/>
              <w:ind w:left="0" w:right="0" w:firstLine="0"/>
              <w:jc w:val="left"/>
            </w:pPr>
            <w:r>
              <w:rPr>
                <w:sz w:val="20"/>
              </w:rPr>
              <w:t>CD45</w:t>
            </w:r>
            <w:r>
              <w:rPr>
                <w:sz w:val="20"/>
                <w:vertAlign w:val="superscript"/>
              </w:rPr>
              <w:t>+</w:t>
            </w:r>
            <w:r>
              <w:rPr>
                <w:sz w:val="20"/>
              </w:rPr>
              <w:t xml:space="preserve"> CD3</w:t>
            </w:r>
            <w:r>
              <w:rPr>
                <w:sz w:val="20"/>
                <w:vertAlign w:val="superscript"/>
              </w:rPr>
              <w:t>+</w:t>
            </w:r>
            <w:r>
              <w:rPr>
                <w:sz w:val="20"/>
              </w:rPr>
              <w:t xml:space="preserve"> </w:t>
            </w:r>
          </w:p>
        </w:tc>
      </w:tr>
      <w:tr w:rsidR="000A5B37" w14:paraId="7784C74E" w14:textId="77777777">
        <w:trPr>
          <w:trHeight w:val="329"/>
        </w:trPr>
        <w:tc>
          <w:tcPr>
            <w:tcW w:w="3824" w:type="dxa"/>
            <w:tcBorders>
              <w:top w:val="single" w:sz="4" w:space="0" w:color="B4C6E7"/>
              <w:left w:val="single" w:sz="4" w:space="0" w:color="B4C6E7"/>
              <w:bottom w:val="single" w:sz="4" w:space="0" w:color="B4C6E7"/>
              <w:right w:val="single" w:sz="4" w:space="0" w:color="B4C6E7"/>
            </w:tcBorders>
          </w:tcPr>
          <w:p w14:paraId="3861EC85" w14:textId="77777777" w:rsidR="000A5B37" w:rsidRDefault="00000000">
            <w:pPr>
              <w:spacing w:after="0" w:line="259" w:lineRule="auto"/>
              <w:ind w:left="0" w:right="0" w:firstLine="0"/>
              <w:jc w:val="left"/>
            </w:pPr>
            <w:r>
              <w:rPr>
                <w:sz w:val="20"/>
              </w:rPr>
              <w:t>CD4</w:t>
            </w:r>
            <w:r>
              <w:rPr>
                <w:sz w:val="20"/>
                <w:vertAlign w:val="superscript"/>
              </w:rPr>
              <w:t>+</w:t>
            </w:r>
            <w:r>
              <w:rPr>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1FBB825C" w14:textId="77777777" w:rsidR="000A5B37" w:rsidRDefault="00000000">
            <w:pPr>
              <w:spacing w:after="0" w:line="259" w:lineRule="auto"/>
              <w:ind w:left="0" w:right="0" w:firstLine="0"/>
              <w:jc w:val="left"/>
            </w:pPr>
            <w:r>
              <w:rPr>
                <w:sz w:val="20"/>
              </w:rPr>
              <w:t>CD45</w:t>
            </w:r>
            <w:r>
              <w:rPr>
                <w:sz w:val="20"/>
                <w:vertAlign w:val="superscript"/>
              </w:rPr>
              <w:t>+</w:t>
            </w:r>
            <w:r>
              <w:rPr>
                <w:sz w:val="20"/>
              </w:rPr>
              <w:t xml:space="preserve"> CD3</w:t>
            </w:r>
            <w:r>
              <w:rPr>
                <w:sz w:val="20"/>
                <w:vertAlign w:val="superscript"/>
              </w:rPr>
              <w:t>+</w:t>
            </w:r>
            <w:r>
              <w:rPr>
                <w:sz w:val="20"/>
              </w:rPr>
              <w:t xml:space="preserve"> CD4</w:t>
            </w:r>
            <w:r>
              <w:rPr>
                <w:sz w:val="20"/>
                <w:vertAlign w:val="superscript"/>
              </w:rPr>
              <w:t>+</w:t>
            </w:r>
            <w:r>
              <w:rPr>
                <w:sz w:val="20"/>
              </w:rPr>
              <w:t xml:space="preserve">  </w:t>
            </w:r>
          </w:p>
        </w:tc>
      </w:tr>
      <w:tr w:rsidR="000A5B37" w14:paraId="3485FA5F" w14:textId="77777777">
        <w:trPr>
          <w:trHeight w:val="326"/>
        </w:trPr>
        <w:tc>
          <w:tcPr>
            <w:tcW w:w="3824" w:type="dxa"/>
            <w:tcBorders>
              <w:top w:val="single" w:sz="4" w:space="0" w:color="B4C6E7"/>
              <w:left w:val="single" w:sz="4" w:space="0" w:color="B4C6E7"/>
              <w:bottom w:val="single" w:sz="4" w:space="0" w:color="B4C6E7"/>
              <w:right w:val="single" w:sz="4" w:space="0" w:color="B4C6E7"/>
            </w:tcBorders>
          </w:tcPr>
          <w:p w14:paraId="3BDEEAE8" w14:textId="77777777" w:rsidR="000A5B37" w:rsidRDefault="00000000">
            <w:pPr>
              <w:spacing w:after="0" w:line="259" w:lineRule="auto"/>
              <w:ind w:left="0" w:right="0" w:firstLine="0"/>
              <w:jc w:val="left"/>
            </w:pPr>
            <w:r>
              <w:rPr>
                <w:sz w:val="20"/>
              </w:rPr>
              <w:t>CD8</w:t>
            </w:r>
            <w:r>
              <w:rPr>
                <w:sz w:val="20"/>
                <w:vertAlign w:val="superscript"/>
              </w:rPr>
              <w:t>+</w:t>
            </w:r>
            <w:r>
              <w:rPr>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71E68B96" w14:textId="77777777" w:rsidR="000A5B37" w:rsidRDefault="00000000">
            <w:pPr>
              <w:spacing w:after="0" w:line="259" w:lineRule="auto"/>
              <w:ind w:left="0" w:right="0" w:firstLine="0"/>
              <w:jc w:val="left"/>
            </w:pPr>
            <w:r>
              <w:rPr>
                <w:sz w:val="20"/>
              </w:rPr>
              <w:t>CD45</w:t>
            </w:r>
            <w:r>
              <w:rPr>
                <w:sz w:val="20"/>
                <w:vertAlign w:val="superscript"/>
              </w:rPr>
              <w:t>+</w:t>
            </w:r>
            <w:r>
              <w:rPr>
                <w:sz w:val="20"/>
              </w:rPr>
              <w:t xml:space="preserve"> CD3</w:t>
            </w:r>
            <w:r>
              <w:rPr>
                <w:sz w:val="20"/>
                <w:vertAlign w:val="superscript"/>
              </w:rPr>
              <w:t>+</w:t>
            </w:r>
            <w:r>
              <w:rPr>
                <w:sz w:val="20"/>
              </w:rPr>
              <w:t xml:space="preserve"> CD8</w:t>
            </w:r>
            <w:r>
              <w:rPr>
                <w:sz w:val="20"/>
                <w:vertAlign w:val="superscript"/>
              </w:rPr>
              <w:t>+</w:t>
            </w:r>
            <w:r>
              <w:rPr>
                <w:sz w:val="20"/>
              </w:rPr>
              <w:t xml:space="preserve"> </w:t>
            </w:r>
          </w:p>
        </w:tc>
      </w:tr>
      <w:tr w:rsidR="000A5B37" w14:paraId="4B42FDE7" w14:textId="77777777">
        <w:trPr>
          <w:trHeight w:val="329"/>
        </w:trPr>
        <w:tc>
          <w:tcPr>
            <w:tcW w:w="3824" w:type="dxa"/>
            <w:tcBorders>
              <w:top w:val="single" w:sz="4" w:space="0" w:color="B4C6E7"/>
              <w:left w:val="single" w:sz="4" w:space="0" w:color="B4C6E7"/>
              <w:bottom w:val="single" w:sz="4" w:space="0" w:color="B4C6E7"/>
              <w:right w:val="single" w:sz="4" w:space="0" w:color="B4C6E7"/>
            </w:tcBorders>
          </w:tcPr>
          <w:p w14:paraId="12E2D22D" w14:textId="77777777" w:rsidR="000A5B37" w:rsidRDefault="00000000">
            <w:pPr>
              <w:spacing w:after="0" w:line="259" w:lineRule="auto"/>
              <w:ind w:left="0" w:right="0" w:firstLine="0"/>
              <w:jc w:val="left"/>
            </w:pPr>
            <w:r>
              <w:rPr>
                <w:sz w:val="20"/>
              </w:rPr>
              <w:t xml:space="preserve">B-cellen </w:t>
            </w:r>
          </w:p>
        </w:tc>
        <w:tc>
          <w:tcPr>
            <w:tcW w:w="3825" w:type="dxa"/>
            <w:tcBorders>
              <w:top w:val="single" w:sz="4" w:space="0" w:color="B4C6E7"/>
              <w:left w:val="single" w:sz="4" w:space="0" w:color="B4C6E7"/>
              <w:bottom w:val="single" w:sz="4" w:space="0" w:color="B4C6E7"/>
              <w:right w:val="single" w:sz="4" w:space="0" w:color="B4C6E7"/>
            </w:tcBorders>
          </w:tcPr>
          <w:p w14:paraId="22A5BCA6" w14:textId="77777777" w:rsidR="000A5B37" w:rsidRDefault="00000000">
            <w:pPr>
              <w:spacing w:after="0" w:line="259" w:lineRule="auto"/>
              <w:ind w:left="0" w:right="0" w:firstLine="0"/>
              <w:jc w:val="left"/>
            </w:pPr>
            <w:r>
              <w:rPr>
                <w:sz w:val="20"/>
              </w:rPr>
              <w:t>CD45</w:t>
            </w:r>
            <w:r>
              <w:rPr>
                <w:sz w:val="20"/>
                <w:vertAlign w:val="superscript"/>
              </w:rPr>
              <w:t>+</w:t>
            </w:r>
            <w:r>
              <w:rPr>
                <w:sz w:val="20"/>
              </w:rPr>
              <w:t xml:space="preserve"> CD3</w:t>
            </w:r>
            <w:r>
              <w:rPr>
                <w:sz w:val="20"/>
                <w:vertAlign w:val="superscript"/>
              </w:rPr>
              <w:t>-</w:t>
            </w:r>
            <w:r>
              <w:rPr>
                <w:sz w:val="20"/>
              </w:rPr>
              <w:t xml:space="preserve"> CD19</w:t>
            </w:r>
            <w:r>
              <w:rPr>
                <w:sz w:val="20"/>
                <w:vertAlign w:val="superscript"/>
              </w:rPr>
              <w:t>+</w:t>
            </w:r>
            <w:r>
              <w:rPr>
                <w:sz w:val="20"/>
              </w:rPr>
              <w:t xml:space="preserve"> </w:t>
            </w:r>
          </w:p>
        </w:tc>
      </w:tr>
      <w:tr w:rsidR="000A5B37" w14:paraId="0CFDCC06" w14:textId="77777777">
        <w:trPr>
          <w:trHeight w:val="329"/>
        </w:trPr>
        <w:tc>
          <w:tcPr>
            <w:tcW w:w="3824" w:type="dxa"/>
            <w:tcBorders>
              <w:top w:val="single" w:sz="4" w:space="0" w:color="B4C6E7"/>
              <w:left w:val="single" w:sz="4" w:space="0" w:color="B4C6E7"/>
              <w:bottom w:val="single" w:sz="4" w:space="0" w:color="B4C6E7"/>
              <w:right w:val="single" w:sz="4" w:space="0" w:color="B4C6E7"/>
            </w:tcBorders>
          </w:tcPr>
          <w:p w14:paraId="64135956" w14:textId="77777777" w:rsidR="000A5B37" w:rsidRDefault="00000000">
            <w:pPr>
              <w:spacing w:after="0" w:line="259" w:lineRule="auto"/>
              <w:ind w:left="0" w:right="0" w:firstLine="0"/>
              <w:jc w:val="left"/>
            </w:pPr>
            <w:r>
              <w:rPr>
                <w:sz w:val="20"/>
              </w:rPr>
              <w:lastRenderedPageBreak/>
              <w:t xml:space="preserve">NK-cellen </w:t>
            </w:r>
          </w:p>
        </w:tc>
        <w:tc>
          <w:tcPr>
            <w:tcW w:w="3825" w:type="dxa"/>
            <w:tcBorders>
              <w:top w:val="single" w:sz="4" w:space="0" w:color="B4C6E7"/>
              <w:left w:val="single" w:sz="4" w:space="0" w:color="B4C6E7"/>
              <w:bottom w:val="single" w:sz="4" w:space="0" w:color="B4C6E7"/>
              <w:right w:val="single" w:sz="4" w:space="0" w:color="B4C6E7"/>
            </w:tcBorders>
          </w:tcPr>
          <w:p w14:paraId="555730F3" w14:textId="77777777" w:rsidR="000A5B37" w:rsidRDefault="00000000">
            <w:pPr>
              <w:spacing w:after="0" w:line="259" w:lineRule="auto"/>
              <w:ind w:left="0" w:right="0" w:firstLine="0"/>
              <w:jc w:val="left"/>
            </w:pPr>
            <w:r>
              <w:rPr>
                <w:sz w:val="20"/>
              </w:rPr>
              <w:t>CD45</w:t>
            </w:r>
            <w:r>
              <w:rPr>
                <w:sz w:val="20"/>
                <w:vertAlign w:val="superscript"/>
              </w:rPr>
              <w:t>+</w:t>
            </w:r>
            <w:r>
              <w:rPr>
                <w:sz w:val="20"/>
              </w:rPr>
              <w:t xml:space="preserve"> CD3</w:t>
            </w:r>
            <w:r>
              <w:rPr>
                <w:sz w:val="20"/>
                <w:vertAlign w:val="superscript"/>
              </w:rPr>
              <w:t>-</w:t>
            </w:r>
            <w:r>
              <w:rPr>
                <w:sz w:val="20"/>
              </w:rPr>
              <w:t xml:space="preserve"> CD16</w:t>
            </w:r>
            <w:r>
              <w:rPr>
                <w:sz w:val="20"/>
                <w:vertAlign w:val="superscript"/>
              </w:rPr>
              <w:t>+</w:t>
            </w:r>
            <w:r>
              <w:rPr>
                <w:sz w:val="20"/>
              </w:rPr>
              <w:t>56</w:t>
            </w:r>
            <w:r>
              <w:rPr>
                <w:sz w:val="20"/>
                <w:vertAlign w:val="superscript"/>
              </w:rPr>
              <w:t>+</w:t>
            </w:r>
            <w:r>
              <w:rPr>
                <w:sz w:val="20"/>
              </w:rPr>
              <w:t xml:space="preserve"> </w:t>
            </w:r>
          </w:p>
        </w:tc>
      </w:tr>
    </w:tbl>
    <w:p w14:paraId="7F88AB50" w14:textId="77777777" w:rsidR="000A5B37" w:rsidRDefault="00000000">
      <w:pPr>
        <w:spacing w:after="0" w:line="259" w:lineRule="auto"/>
        <w:ind w:left="0" w:right="0" w:firstLine="0"/>
        <w:jc w:val="left"/>
      </w:pPr>
      <w:r>
        <w:t xml:space="preserve"> </w:t>
      </w:r>
    </w:p>
    <w:p w14:paraId="3921118D" w14:textId="77777777" w:rsidR="000A5B37" w:rsidRDefault="00000000">
      <w:pPr>
        <w:ind w:left="-5" w:right="0"/>
      </w:pPr>
      <w:r>
        <w:t xml:space="preserve">Tabel 6. B-cel subsets (basis)  </w:t>
      </w:r>
    </w:p>
    <w:tbl>
      <w:tblPr>
        <w:tblStyle w:val="TableGrid"/>
        <w:tblW w:w="7649" w:type="dxa"/>
        <w:tblInd w:w="7" w:type="dxa"/>
        <w:tblCellMar>
          <w:top w:w="43" w:type="dxa"/>
          <w:left w:w="108" w:type="dxa"/>
          <w:bottom w:w="0" w:type="dxa"/>
          <w:right w:w="115" w:type="dxa"/>
        </w:tblCellMar>
        <w:tblLook w:val="04A0" w:firstRow="1" w:lastRow="0" w:firstColumn="1" w:lastColumn="0" w:noHBand="0" w:noVBand="1"/>
      </w:tblPr>
      <w:tblGrid>
        <w:gridCol w:w="3824"/>
        <w:gridCol w:w="3825"/>
      </w:tblGrid>
      <w:tr w:rsidR="000A5B37" w14:paraId="76531BEE" w14:textId="77777777">
        <w:trPr>
          <w:trHeight w:val="329"/>
        </w:trPr>
        <w:tc>
          <w:tcPr>
            <w:tcW w:w="3824" w:type="dxa"/>
            <w:tcBorders>
              <w:top w:val="single" w:sz="4" w:space="0" w:color="B4C6E7"/>
              <w:left w:val="single" w:sz="4" w:space="0" w:color="B4C6E7"/>
              <w:bottom w:val="single" w:sz="12" w:space="0" w:color="8EAADB"/>
              <w:right w:val="single" w:sz="4" w:space="0" w:color="B4C6E7"/>
            </w:tcBorders>
            <w:shd w:val="clear" w:color="auto" w:fill="F2F2F2"/>
          </w:tcPr>
          <w:p w14:paraId="44AB20DE" w14:textId="77777777" w:rsidR="000A5B37" w:rsidRDefault="00000000">
            <w:pPr>
              <w:spacing w:after="0" w:line="259" w:lineRule="auto"/>
              <w:ind w:left="0" w:right="0" w:firstLine="0"/>
              <w:jc w:val="left"/>
            </w:pPr>
            <w:r>
              <w:rPr>
                <w:b/>
                <w:sz w:val="20"/>
              </w:rPr>
              <w:t xml:space="preserve">Subset  </w:t>
            </w:r>
          </w:p>
        </w:tc>
        <w:tc>
          <w:tcPr>
            <w:tcW w:w="3825" w:type="dxa"/>
            <w:tcBorders>
              <w:top w:val="single" w:sz="4" w:space="0" w:color="B4C6E7"/>
              <w:left w:val="single" w:sz="4" w:space="0" w:color="B4C6E7"/>
              <w:bottom w:val="single" w:sz="12" w:space="0" w:color="8EAADB"/>
              <w:right w:val="single" w:sz="4" w:space="0" w:color="B4C6E7"/>
            </w:tcBorders>
            <w:shd w:val="clear" w:color="auto" w:fill="F2F2F2"/>
          </w:tcPr>
          <w:p w14:paraId="7418CBE6" w14:textId="77777777" w:rsidR="000A5B37" w:rsidRDefault="00000000">
            <w:pPr>
              <w:spacing w:after="0" w:line="259" w:lineRule="auto"/>
              <w:ind w:left="0" w:right="0" w:firstLine="0"/>
              <w:jc w:val="left"/>
            </w:pPr>
            <w:r>
              <w:rPr>
                <w:b/>
                <w:sz w:val="20"/>
              </w:rPr>
              <w:t xml:space="preserve">Markers </w:t>
            </w:r>
          </w:p>
        </w:tc>
      </w:tr>
      <w:tr w:rsidR="000A5B37" w14:paraId="340BFEA3" w14:textId="77777777">
        <w:trPr>
          <w:trHeight w:val="342"/>
        </w:trPr>
        <w:tc>
          <w:tcPr>
            <w:tcW w:w="3824" w:type="dxa"/>
            <w:tcBorders>
              <w:top w:val="single" w:sz="12" w:space="0" w:color="8EAADB"/>
              <w:left w:val="single" w:sz="4" w:space="0" w:color="B4C6E7"/>
              <w:bottom w:val="single" w:sz="4" w:space="0" w:color="B4C6E7"/>
              <w:right w:val="single" w:sz="4" w:space="0" w:color="B4C6E7"/>
            </w:tcBorders>
          </w:tcPr>
          <w:p w14:paraId="6D637085" w14:textId="77777777" w:rsidR="000A5B37" w:rsidRDefault="00000000">
            <w:pPr>
              <w:spacing w:after="0" w:line="259" w:lineRule="auto"/>
              <w:ind w:left="0" w:right="0" w:firstLine="0"/>
              <w:jc w:val="left"/>
            </w:pPr>
            <w:r>
              <w:rPr>
                <w:b/>
                <w:sz w:val="20"/>
              </w:rPr>
              <w:t>Binnen CD19</w:t>
            </w:r>
            <w:r>
              <w:rPr>
                <w:b/>
                <w:sz w:val="20"/>
                <w:vertAlign w:val="superscript"/>
              </w:rPr>
              <w:t xml:space="preserve">+ </w:t>
            </w:r>
            <w:r>
              <w:rPr>
                <w:b/>
                <w:sz w:val="20"/>
              </w:rPr>
              <w:t>(of CD20</w:t>
            </w:r>
            <w:r>
              <w:rPr>
                <w:b/>
                <w:sz w:val="20"/>
                <w:vertAlign w:val="superscript"/>
              </w:rPr>
              <w:t>+</w:t>
            </w:r>
            <w:r>
              <w:rPr>
                <w:b/>
                <w:sz w:val="20"/>
              </w:rPr>
              <w:t>) B-cellen</w:t>
            </w:r>
            <w:r>
              <w:rPr>
                <w:sz w:val="20"/>
              </w:rPr>
              <w:t xml:space="preserve">  </w:t>
            </w:r>
          </w:p>
        </w:tc>
        <w:tc>
          <w:tcPr>
            <w:tcW w:w="3825" w:type="dxa"/>
            <w:tcBorders>
              <w:top w:val="single" w:sz="12" w:space="0" w:color="8EAADB"/>
              <w:left w:val="single" w:sz="4" w:space="0" w:color="B4C6E7"/>
              <w:bottom w:val="single" w:sz="4" w:space="0" w:color="B4C6E7"/>
              <w:right w:val="single" w:sz="4" w:space="0" w:color="B4C6E7"/>
            </w:tcBorders>
          </w:tcPr>
          <w:p w14:paraId="1AE09049" w14:textId="77777777" w:rsidR="000A5B37" w:rsidRDefault="00000000">
            <w:pPr>
              <w:spacing w:after="0" w:line="259" w:lineRule="auto"/>
              <w:ind w:left="0" w:right="0" w:firstLine="0"/>
              <w:jc w:val="left"/>
            </w:pPr>
            <w:r>
              <w:rPr>
                <w:sz w:val="20"/>
              </w:rPr>
              <w:t xml:space="preserve"> </w:t>
            </w:r>
          </w:p>
        </w:tc>
      </w:tr>
      <w:tr w:rsidR="000A5B37" w14:paraId="1489B460" w14:textId="77777777">
        <w:trPr>
          <w:trHeight w:val="324"/>
        </w:trPr>
        <w:tc>
          <w:tcPr>
            <w:tcW w:w="3824" w:type="dxa"/>
            <w:vMerge w:val="restart"/>
            <w:tcBorders>
              <w:top w:val="single" w:sz="4" w:space="0" w:color="B4C6E7"/>
              <w:left w:val="single" w:sz="4" w:space="0" w:color="B4C6E7"/>
              <w:bottom w:val="single" w:sz="4" w:space="0" w:color="B4C6E7"/>
              <w:right w:val="single" w:sz="4" w:space="0" w:color="B4C6E7"/>
            </w:tcBorders>
          </w:tcPr>
          <w:p w14:paraId="4B347CF2" w14:textId="77777777" w:rsidR="000A5B37" w:rsidRDefault="00000000">
            <w:pPr>
              <w:spacing w:after="0" w:line="259" w:lineRule="auto"/>
              <w:ind w:left="0" w:right="0" w:firstLine="0"/>
              <w:jc w:val="left"/>
            </w:pPr>
            <w:r>
              <w:rPr>
                <w:sz w:val="20"/>
              </w:rPr>
              <w:t xml:space="preserve">Transitionele B-cellen </w:t>
            </w:r>
          </w:p>
        </w:tc>
        <w:tc>
          <w:tcPr>
            <w:tcW w:w="3825" w:type="dxa"/>
            <w:tcBorders>
              <w:top w:val="single" w:sz="4" w:space="0" w:color="B4C6E7"/>
              <w:left w:val="single" w:sz="4" w:space="0" w:color="B4C6E7"/>
              <w:bottom w:val="single" w:sz="4" w:space="0" w:color="B4C6E7"/>
              <w:right w:val="single" w:sz="4" w:space="0" w:color="B4C6E7"/>
            </w:tcBorders>
          </w:tcPr>
          <w:p w14:paraId="37AA1F90"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IgM</w:t>
            </w:r>
            <w:r>
              <w:rPr>
                <w:sz w:val="20"/>
                <w:vertAlign w:val="superscript"/>
              </w:rPr>
              <w:t>hi</w:t>
            </w:r>
            <w:r>
              <w:rPr>
                <w:sz w:val="20"/>
              </w:rPr>
              <w:t xml:space="preserve"> CD24</w:t>
            </w:r>
            <w:r>
              <w:rPr>
                <w:sz w:val="20"/>
                <w:vertAlign w:val="superscript"/>
              </w:rPr>
              <w:t>hi</w:t>
            </w:r>
            <w:r>
              <w:rPr>
                <w:sz w:val="20"/>
              </w:rPr>
              <w:t xml:space="preserve"> CD38</w:t>
            </w:r>
            <w:r>
              <w:rPr>
                <w:sz w:val="20"/>
                <w:vertAlign w:val="superscript"/>
              </w:rPr>
              <w:t>+</w:t>
            </w:r>
            <w:r>
              <w:rPr>
                <w:sz w:val="20"/>
              </w:rPr>
              <w:t xml:space="preserve">   </w:t>
            </w:r>
          </w:p>
        </w:tc>
      </w:tr>
      <w:tr w:rsidR="000A5B37" w14:paraId="343AA216" w14:textId="77777777">
        <w:trPr>
          <w:trHeight w:val="326"/>
        </w:trPr>
        <w:tc>
          <w:tcPr>
            <w:tcW w:w="0" w:type="auto"/>
            <w:vMerge/>
            <w:tcBorders>
              <w:top w:val="nil"/>
              <w:left w:val="single" w:sz="4" w:space="0" w:color="B4C6E7"/>
              <w:bottom w:val="single" w:sz="4" w:space="0" w:color="B4C6E7"/>
              <w:right w:val="single" w:sz="4" w:space="0" w:color="B4C6E7"/>
            </w:tcBorders>
          </w:tcPr>
          <w:p w14:paraId="01D99148" w14:textId="77777777" w:rsidR="000A5B37" w:rsidRDefault="000A5B37">
            <w:pPr>
              <w:spacing w:after="160" w:line="259" w:lineRule="auto"/>
              <w:ind w:left="0" w:right="0" w:firstLine="0"/>
              <w:jc w:val="left"/>
            </w:pPr>
          </w:p>
        </w:tc>
        <w:tc>
          <w:tcPr>
            <w:tcW w:w="3825" w:type="dxa"/>
            <w:tcBorders>
              <w:top w:val="single" w:sz="4" w:space="0" w:color="B4C6E7"/>
              <w:left w:val="single" w:sz="4" w:space="0" w:color="B4C6E7"/>
              <w:bottom w:val="single" w:sz="4" w:space="0" w:color="B4C6E7"/>
              <w:right w:val="single" w:sz="4" w:space="0" w:color="B4C6E7"/>
            </w:tcBorders>
          </w:tcPr>
          <w:p w14:paraId="12A738CC" w14:textId="77777777" w:rsidR="000A5B37" w:rsidRDefault="00000000">
            <w:pPr>
              <w:spacing w:after="0" w:line="259" w:lineRule="auto"/>
              <w:ind w:left="0" w:right="0" w:firstLine="0"/>
              <w:jc w:val="left"/>
            </w:pPr>
            <w:r>
              <w:rPr>
                <w:sz w:val="20"/>
              </w:rPr>
              <w:t>CD24</w:t>
            </w:r>
            <w:r>
              <w:rPr>
                <w:sz w:val="20"/>
                <w:vertAlign w:val="superscript"/>
              </w:rPr>
              <w:t xml:space="preserve">hi </w:t>
            </w:r>
            <w:r>
              <w:rPr>
                <w:sz w:val="20"/>
              </w:rPr>
              <w:t>CD38</w:t>
            </w:r>
            <w:r>
              <w:rPr>
                <w:sz w:val="20"/>
                <w:vertAlign w:val="superscript"/>
              </w:rPr>
              <w:t>+</w:t>
            </w:r>
            <w:r>
              <w:rPr>
                <w:sz w:val="20"/>
              </w:rPr>
              <w:t xml:space="preserve"> </w:t>
            </w:r>
          </w:p>
        </w:tc>
      </w:tr>
      <w:tr w:rsidR="000A5B37" w14:paraId="15654822" w14:textId="77777777">
        <w:trPr>
          <w:trHeight w:val="326"/>
        </w:trPr>
        <w:tc>
          <w:tcPr>
            <w:tcW w:w="3824" w:type="dxa"/>
            <w:vMerge w:val="restart"/>
            <w:tcBorders>
              <w:top w:val="single" w:sz="4" w:space="0" w:color="B4C6E7"/>
              <w:left w:val="single" w:sz="4" w:space="0" w:color="B4C6E7"/>
              <w:bottom w:val="single" w:sz="4" w:space="0" w:color="B4C6E7"/>
              <w:right w:val="single" w:sz="4" w:space="0" w:color="B4C6E7"/>
            </w:tcBorders>
          </w:tcPr>
          <w:p w14:paraId="4868E468" w14:textId="77777777" w:rsidR="000A5B37" w:rsidRDefault="00000000">
            <w:pPr>
              <w:spacing w:after="0" w:line="259" w:lineRule="auto"/>
              <w:ind w:left="0" w:right="0" w:firstLine="0"/>
              <w:jc w:val="left"/>
            </w:pPr>
            <w:r>
              <w:rPr>
                <w:sz w:val="20"/>
              </w:rPr>
              <w:t xml:space="preserve">Naïeve mature B-cellen </w:t>
            </w:r>
          </w:p>
        </w:tc>
        <w:tc>
          <w:tcPr>
            <w:tcW w:w="3825" w:type="dxa"/>
            <w:tcBorders>
              <w:top w:val="single" w:sz="4" w:space="0" w:color="B4C6E7"/>
              <w:left w:val="single" w:sz="4" w:space="0" w:color="B4C6E7"/>
              <w:bottom w:val="single" w:sz="4" w:space="0" w:color="B4C6E7"/>
              <w:right w:val="single" w:sz="4" w:space="0" w:color="B4C6E7"/>
            </w:tcBorders>
          </w:tcPr>
          <w:p w14:paraId="7B0F4F61"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IgM</w:t>
            </w:r>
            <w:r>
              <w:rPr>
                <w:sz w:val="20"/>
                <w:vertAlign w:val="superscript"/>
              </w:rPr>
              <w:t>+</w:t>
            </w:r>
            <w:r>
              <w:rPr>
                <w:sz w:val="20"/>
              </w:rPr>
              <w:t xml:space="preserve"> CD24</w:t>
            </w:r>
            <w:r>
              <w:rPr>
                <w:sz w:val="20"/>
                <w:vertAlign w:val="superscript"/>
              </w:rPr>
              <w:t>int</w:t>
            </w:r>
            <w:r>
              <w:rPr>
                <w:sz w:val="20"/>
              </w:rPr>
              <w:t xml:space="preserve"> CD38</w:t>
            </w:r>
            <w:r>
              <w:rPr>
                <w:sz w:val="20"/>
                <w:vertAlign w:val="superscript"/>
              </w:rPr>
              <w:t>int</w:t>
            </w:r>
            <w:r>
              <w:rPr>
                <w:sz w:val="20"/>
              </w:rPr>
              <w:t xml:space="preserve"> </w:t>
            </w:r>
          </w:p>
        </w:tc>
      </w:tr>
      <w:tr w:rsidR="000A5B37" w14:paraId="6649FB54" w14:textId="77777777">
        <w:trPr>
          <w:trHeight w:val="326"/>
        </w:trPr>
        <w:tc>
          <w:tcPr>
            <w:tcW w:w="0" w:type="auto"/>
            <w:vMerge/>
            <w:tcBorders>
              <w:top w:val="nil"/>
              <w:left w:val="single" w:sz="4" w:space="0" w:color="B4C6E7"/>
              <w:bottom w:val="single" w:sz="4" w:space="0" w:color="B4C6E7"/>
              <w:right w:val="single" w:sz="4" w:space="0" w:color="B4C6E7"/>
            </w:tcBorders>
          </w:tcPr>
          <w:p w14:paraId="698CF89F" w14:textId="77777777" w:rsidR="000A5B37" w:rsidRDefault="000A5B37">
            <w:pPr>
              <w:spacing w:after="160" w:line="259" w:lineRule="auto"/>
              <w:ind w:left="0" w:right="0" w:firstLine="0"/>
              <w:jc w:val="left"/>
            </w:pPr>
          </w:p>
        </w:tc>
        <w:tc>
          <w:tcPr>
            <w:tcW w:w="3825" w:type="dxa"/>
            <w:tcBorders>
              <w:top w:val="single" w:sz="4" w:space="0" w:color="B4C6E7"/>
              <w:left w:val="single" w:sz="4" w:space="0" w:color="B4C6E7"/>
              <w:bottom w:val="single" w:sz="4" w:space="0" w:color="B4C6E7"/>
              <w:right w:val="single" w:sz="4" w:space="0" w:color="B4C6E7"/>
            </w:tcBorders>
          </w:tcPr>
          <w:p w14:paraId="602AD569" w14:textId="77777777" w:rsidR="000A5B37" w:rsidRDefault="00000000">
            <w:pPr>
              <w:spacing w:after="0" w:line="259" w:lineRule="auto"/>
              <w:ind w:left="0" w:right="0" w:firstLine="0"/>
              <w:jc w:val="left"/>
            </w:pPr>
            <w:r>
              <w:rPr>
                <w:sz w:val="20"/>
              </w:rPr>
              <w:t>CD27</w:t>
            </w:r>
            <w:r>
              <w:rPr>
                <w:sz w:val="20"/>
                <w:vertAlign w:val="superscript"/>
              </w:rPr>
              <w:t xml:space="preserve">- </w:t>
            </w:r>
            <w:r>
              <w:rPr>
                <w:sz w:val="20"/>
              </w:rPr>
              <w:t>IgD</w:t>
            </w:r>
            <w:r>
              <w:rPr>
                <w:sz w:val="20"/>
                <w:vertAlign w:val="superscript"/>
              </w:rPr>
              <w:t>+</w:t>
            </w:r>
            <w:r>
              <w:rPr>
                <w:sz w:val="20"/>
              </w:rPr>
              <w:t xml:space="preserve"> </w:t>
            </w:r>
          </w:p>
        </w:tc>
      </w:tr>
      <w:tr w:rsidR="000A5B37" w14:paraId="3F921A48" w14:textId="77777777">
        <w:trPr>
          <w:trHeight w:val="327"/>
        </w:trPr>
        <w:tc>
          <w:tcPr>
            <w:tcW w:w="3824" w:type="dxa"/>
            <w:tcBorders>
              <w:top w:val="single" w:sz="4" w:space="0" w:color="B4C6E7"/>
              <w:left w:val="single" w:sz="4" w:space="0" w:color="B4C6E7"/>
              <w:bottom w:val="single" w:sz="4" w:space="0" w:color="B4C6E7"/>
              <w:right w:val="single" w:sz="4" w:space="0" w:color="B4C6E7"/>
            </w:tcBorders>
          </w:tcPr>
          <w:p w14:paraId="3F3BABB8" w14:textId="77777777" w:rsidR="000A5B37" w:rsidRDefault="00000000">
            <w:pPr>
              <w:spacing w:after="0" w:line="259" w:lineRule="auto"/>
              <w:ind w:left="0" w:right="0" w:firstLine="0"/>
              <w:jc w:val="left"/>
            </w:pPr>
            <w:r>
              <w:rPr>
                <w:sz w:val="20"/>
              </w:rPr>
              <w:t xml:space="preserve">Niet-isotype geswitchte memory B-cellen* </w:t>
            </w:r>
          </w:p>
        </w:tc>
        <w:tc>
          <w:tcPr>
            <w:tcW w:w="3825" w:type="dxa"/>
            <w:tcBorders>
              <w:top w:val="single" w:sz="4" w:space="0" w:color="B4C6E7"/>
              <w:left w:val="single" w:sz="4" w:space="0" w:color="B4C6E7"/>
              <w:bottom w:val="single" w:sz="4" w:space="0" w:color="B4C6E7"/>
              <w:right w:val="single" w:sz="4" w:space="0" w:color="B4C6E7"/>
            </w:tcBorders>
          </w:tcPr>
          <w:p w14:paraId="6F378264"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IgM</w:t>
            </w:r>
            <w:r>
              <w:rPr>
                <w:sz w:val="20"/>
                <w:vertAlign w:val="superscript"/>
              </w:rPr>
              <w:t>hi</w:t>
            </w:r>
            <w:r>
              <w:rPr>
                <w:sz w:val="20"/>
              </w:rPr>
              <w:t xml:space="preserve"> CD38</w:t>
            </w:r>
            <w:r>
              <w:rPr>
                <w:sz w:val="20"/>
                <w:vertAlign w:val="superscript"/>
              </w:rPr>
              <w:t>int</w:t>
            </w:r>
            <w:r>
              <w:rPr>
                <w:sz w:val="20"/>
              </w:rPr>
              <w:t xml:space="preserve"> </w:t>
            </w:r>
          </w:p>
        </w:tc>
      </w:tr>
      <w:tr w:rsidR="000A5B37" w14:paraId="21E54399" w14:textId="77777777">
        <w:trPr>
          <w:trHeight w:val="326"/>
        </w:trPr>
        <w:tc>
          <w:tcPr>
            <w:tcW w:w="3824" w:type="dxa"/>
            <w:tcBorders>
              <w:top w:val="single" w:sz="4" w:space="0" w:color="B4C6E7"/>
              <w:left w:val="single" w:sz="4" w:space="0" w:color="B4C6E7"/>
              <w:bottom w:val="single" w:sz="4" w:space="0" w:color="B4C6E7"/>
              <w:right w:val="single" w:sz="4" w:space="0" w:color="B4C6E7"/>
            </w:tcBorders>
          </w:tcPr>
          <w:p w14:paraId="630721FB" w14:textId="77777777" w:rsidR="000A5B37" w:rsidRDefault="00000000">
            <w:pPr>
              <w:spacing w:after="0" w:line="259" w:lineRule="auto"/>
              <w:ind w:left="0" w:right="0" w:firstLine="0"/>
              <w:jc w:val="left"/>
            </w:pPr>
            <w:r>
              <w:rPr>
                <w:sz w:val="20"/>
              </w:rPr>
              <w:t xml:space="preserve">Isotype-geswitchte memory B-cellen </w:t>
            </w:r>
          </w:p>
        </w:tc>
        <w:tc>
          <w:tcPr>
            <w:tcW w:w="3825" w:type="dxa"/>
            <w:tcBorders>
              <w:top w:val="single" w:sz="4" w:space="0" w:color="B4C6E7"/>
              <w:left w:val="single" w:sz="4" w:space="0" w:color="B4C6E7"/>
              <w:bottom w:val="single" w:sz="4" w:space="0" w:color="B4C6E7"/>
              <w:right w:val="single" w:sz="4" w:space="0" w:color="B4C6E7"/>
            </w:tcBorders>
          </w:tcPr>
          <w:p w14:paraId="23AF949E"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IgM</w:t>
            </w:r>
            <w:r>
              <w:rPr>
                <w:sz w:val="20"/>
                <w:vertAlign w:val="superscript"/>
              </w:rPr>
              <w:t xml:space="preserve">- </w:t>
            </w:r>
            <w:r>
              <w:rPr>
                <w:sz w:val="20"/>
              </w:rPr>
              <w:t>CD38</w:t>
            </w:r>
            <w:r>
              <w:rPr>
                <w:sz w:val="20"/>
                <w:vertAlign w:val="superscript"/>
              </w:rPr>
              <w:t xml:space="preserve">int </w:t>
            </w:r>
            <w:r>
              <w:rPr>
                <w:sz w:val="20"/>
              </w:rPr>
              <w:t xml:space="preserve"> </w:t>
            </w:r>
          </w:p>
        </w:tc>
      </w:tr>
      <w:tr w:rsidR="000A5B37" w14:paraId="314E672F" w14:textId="77777777">
        <w:trPr>
          <w:trHeight w:val="324"/>
        </w:trPr>
        <w:tc>
          <w:tcPr>
            <w:tcW w:w="3824" w:type="dxa"/>
            <w:tcBorders>
              <w:top w:val="single" w:sz="4" w:space="0" w:color="B4C6E7"/>
              <w:left w:val="single" w:sz="4" w:space="0" w:color="B4C6E7"/>
              <w:bottom w:val="single" w:sz="4" w:space="0" w:color="B4C6E7"/>
              <w:right w:val="single" w:sz="4" w:space="0" w:color="B4C6E7"/>
            </w:tcBorders>
          </w:tcPr>
          <w:p w14:paraId="735F0205" w14:textId="77777777" w:rsidR="000A5B37" w:rsidRDefault="00000000">
            <w:pPr>
              <w:spacing w:after="0" w:line="259" w:lineRule="auto"/>
              <w:ind w:left="0" w:right="0" w:firstLine="0"/>
              <w:jc w:val="left"/>
            </w:pPr>
            <w:r>
              <w:rPr>
                <w:sz w:val="20"/>
              </w:rPr>
              <w:t xml:space="preserve">Dubbel-negatieve B-cellen </w:t>
            </w:r>
          </w:p>
        </w:tc>
        <w:tc>
          <w:tcPr>
            <w:tcW w:w="3825" w:type="dxa"/>
            <w:tcBorders>
              <w:top w:val="single" w:sz="4" w:space="0" w:color="B4C6E7"/>
              <w:left w:val="single" w:sz="4" w:space="0" w:color="B4C6E7"/>
              <w:bottom w:val="single" w:sz="4" w:space="0" w:color="B4C6E7"/>
              <w:right w:val="single" w:sz="4" w:space="0" w:color="B4C6E7"/>
            </w:tcBorders>
          </w:tcPr>
          <w:p w14:paraId="1EDD77EC"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IgM</w:t>
            </w:r>
            <w:r>
              <w:rPr>
                <w:sz w:val="20"/>
                <w:vertAlign w:val="superscript"/>
              </w:rPr>
              <w:t xml:space="preserve">- </w:t>
            </w:r>
            <w:r>
              <w:rPr>
                <w:sz w:val="20"/>
              </w:rPr>
              <w:t>CD38</w:t>
            </w:r>
            <w:r>
              <w:rPr>
                <w:sz w:val="20"/>
                <w:vertAlign w:val="superscript"/>
              </w:rPr>
              <w:t>lo</w:t>
            </w:r>
            <w:r>
              <w:rPr>
                <w:sz w:val="20"/>
              </w:rPr>
              <w:t xml:space="preserve"> </w:t>
            </w:r>
          </w:p>
        </w:tc>
      </w:tr>
      <w:tr w:rsidR="000A5B37" w14:paraId="7411B1A6" w14:textId="77777777">
        <w:trPr>
          <w:trHeight w:val="326"/>
        </w:trPr>
        <w:tc>
          <w:tcPr>
            <w:tcW w:w="3824" w:type="dxa"/>
            <w:tcBorders>
              <w:top w:val="single" w:sz="4" w:space="0" w:color="B4C6E7"/>
              <w:left w:val="single" w:sz="4" w:space="0" w:color="B4C6E7"/>
              <w:bottom w:val="single" w:sz="4" w:space="0" w:color="B4C6E7"/>
              <w:right w:val="single" w:sz="4" w:space="0" w:color="B4C6E7"/>
            </w:tcBorders>
          </w:tcPr>
          <w:p w14:paraId="27D956BC" w14:textId="77777777" w:rsidR="000A5B37" w:rsidRDefault="00000000">
            <w:pPr>
              <w:spacing w:after="0" w:line="259" w:lineRule="auto"/>
              <w:ind w:left="0" w:right="0" w:firstLine="0"/>
              <w:jc w:val="left"/>
            </w:pPr>
            <w:r>
              <w:rPr>
                <w:sz w:val="20"/>
              </w:rPr>
              <w:t xml:space="preserve">Plasmablasten </w:t>
            </w:r>
          </w:p>
        </w:tc>
        <w:tc>
          <w:tcPr>
            <w:tcW w:w="3825" w:type="dxa"/>
            <w:tcBorders>
              <w:top w:val="single" w:sz="4" w:space="0" w:color="B4C6E7"/>
              <w:left w:val="single" w:sz="4" w:space="0" w:color="B4C6E7"/>
              <w:bottom w:val="single" w:sz="4" w:space="0" w:color="B4C6E7"/>
              <w:right w:val="single" w:sz="4" w:space="0" w:color="B4C6E7"/>
            </w:tcBorders>
          </w:tcPr>
          <w:p w14:paraId="57E129E9" w14:textId="77777777" w:rsidR="000A5B37" w:rsidRDefault="00000000">
            <w:pPr>
              <w:spacing w:after="0" w:line="259" w:lineRule="auto"/>
              <w:ind w:left="0" w:right="0" w:firstLine="0"/>
              <w:jc w:val="left"/>
            </w:pPr>
            <w:r>
              <w:rPr>
                <w:sz w:val="20"/>
              </w:rPr>
              <w:t>CD27</w:t>
            </w:r>
            <w:r>
              <w:rPr>
                <w:sz w:val="20"/>
                <w:vertAlign w:val="superscript"/>
              </w:rPr>
              <w:t>hi</w:t>
            </w:r>
            <w:r>
              <w:rPr>
                <w:sz w:val="20"/>
              </w:rPr>
              <w:t xml:space="preserve"> IgM</w:t>
            </w:r>
            <w:r>
              <w:rPr>
                <w:sz w:val="20"/>
                <w:vertAlign w:val="superscript"/>
              </w:rPr>
              <w:t xml:space="preserve">- </w:t>
            </w:r>
            <w:r>
              <w:rPr>
                <w:sz w:val="20"/>
              </w:rPr>
              <w:t>IgD</w:t>
            </w:r>
            <w:r>
              <w:rPr>
                <w:sz w:val="20"/>
                <w:vertAlign w:val="superscript"/>
              </w:rPr>
              <w:t>-</w:t>
            </w:r>
            <w:r>
              <w:rPr>
                <w:sz w:val="20"/>
              </w:rPr>
              <w:t xml:space="preserve"> CD24</w:t>
            </w:r>
            <w:r>
              <w:rPr>
                <w:sz w:val="20"/>
                <w:vertAlign w:val="superscript"/>
              </w:rPr>
              <w:t xml:space="preserve">- </w:t>
            </w:r>
            <w:r>
              <w:rPr>
                <w:sz w:val="20"/>
              </w:rPr>
              <w:t>CD38</w:t>
            </w:r>
            <w:r>
              <w:rPr>
                <w:sz w:val="20"/>
                <w:vertAlign w:val="superscript"/>
              </w:rPr>
              <w:t>hi</w:t>
            </w:r>
            <w:r>
              <w:rPr>
                <w:sz w:val="20"/>
              </w:rPr>
              <w:t xml:space="preserve"> </w:t>
            </w:r>
          </w:p>
        </w:tc>
      </w:tr>
    </w:tbl>
    <w:p w14:paraId="65D91D9F" w14:textId="77777777" w:rsidR="000A5B37" w:rsidRDefault="00000000">
      <w:pPr>
        <w:spacing w:after="10" w:line="248" w:lineRule="auto"/>
        <w:ind w:left="-5" w:right="0"/>
      </w:pPr>
      <w:r>
        <w:rPr>
          <w:sz w:val="16"/>
        </w:rPr>
        <w:t>*</w:t>
      </w:r>
      <w:r>
        <w:rPr>
          <w:rFonts w:cs="Calibri"/>
          <w:b/>
          <w:sz w:val="20"/>
        </w:rPr>
        <w:t xml:space="preserve"> </w:t>
      </w:r>
      <w:r>
        <w:rPr>
          <w:sz w:val="16"/>
        </w:rPr>
        <w:t xml:space="preserve">Niet-isotype geswitchte memory B-cellen worden ook wel marginal zone of natural effector B-cellen genoemd. </w:t>
      </w:r>
    </w:p>
    <w:p w14:paraId="55524164" w14:textId="77777777" w:rsidR="000A5B37" w:rsidRDefault="00000000">
      <w:pPr>
        <w:spacing w:after="0" w:line="259" w:lineRule="auto"/>
        <w:ind w:left="0" w:right="0" w:firstLine="0"/>
        <w:jc w:val="left"/>
      </w:pPr>
      <w:r>
        <w:t xml:space="preserve"> </w:t>
      </w:r>
    </w:p>
    <w:p w14:paraId="4FA370FE" w14:textId="77777777" w:rsidR="000A5B37" w:rsidRDefault="00000000">
      <w:pPr>
        <w:spacing w:after="0" w:line="259" w:lineRule="auto"/>
        <w:ind w:left="0" w:right="0" w:firstLine="0"/>
        <w:jc w:val="left"/>
      </w:pPr>
      <w:r>
        <w:t xml:space="preserve"> </w:t>
      </w:r>
    </w:p>
    <w:p w14:paraId="4C32AE0B" w14:textId="77777777" w:rsidR="000A5B37" w:rsidRDefault="00000000">
      <w:pPr>
        <w:spacing w:after="0" w:line="259" w:lineRule="auto"/>
        <w:ind w:left="0" w:right="0" w:firstLine="0"/>
        <w:jc w:val="left"/>
      </w:pPr>
      <w:r>
        <w:t xml:space="preserve"> </w:t>
      </w:r>
    </w:p>
    <w:p w14:paraId="4F4BB9CE" w14:textId="77777777" w:rsidR="000A5B37" w:rsidRDefault="00000000">
      <w:pPr>
        <w:ind w:left="-5" w:right="0"/>
      </w:pPr>
      <w:r>
        <w:t xml:space="preserve">Tabel 7. B-cel subsets (aanvullend) </w:t>
      </w:r>
    </w:p>
    <w:tbl>
      <w:tblPr>
        <w:tblStyle w:val="TableGrid"/>
        <w:tblW w:w="7649" w:type="dxa"/>
        <w:tblInd w:w="7" w:type="dxa"/>
        <w:tblCellMar>
          <w:top w:w="44" w:type="dxa"/>
          <w:left w:w="108" w:type="dxa"/>
          <w:bottom w:w="0" w:type="dxa"/>
          <w:right w:w="115" w:type="dxa"/>
        </w:tblCellMar>
        <w:tblLook w:val="04A0" w:firstRow="1" w:lastRow="0" w:firstColumn="1" w:lastColumn="0" w:noHBand="0" w:noVBand="1"/>
      </w:tblPr>
      <w:tblGrid>
        <w:gridCol w:w="3824"/>
        <w:gridCol w:w="3825"/>
      </w:tblGrid>
      <w:tr w:rsidR="000A5B37" w14:paraId="1EE59387" w14:textId="77777777">
        <w:trPr>
          <w:trHeight w:val="331"/>
        </w:trPr>
        <w:tc>
          <w:tcPr>
            <w:tcW w:w="3824" w:type="dxa"/>
            <w:tcBorders>
              <w:top w:val="single" w:sz="4" w:space="0" w:color="B4C6E7"/>
              <w:left w:val="single" w:sz="4" w:space="0" w:color="B4C6E7"/>
              <w:bottom w:val="single" w:sz="12" w:space="0" w:color="8EAADB"/>
              <w:right w:val="single" w:sz="4" w:space="0" w:color="B4C6E7"/>
            </w:tcBorders>
            <w:shd w:val="clear" w:color="auto" w:fill="F2F2F2"/>
          </w:tcPr>
          <w:p w14:paraId="2723FD90" w14:textId="77777777" w:rsidR="000A5B37" w:rsidRDefault="00000000">
            <w:pPr>
              <w:spacing w:after="0" w:line="259" w:lineRule="auto"/>
              <w:ind w:left="0" w:right="0" w:firstLine="0"/>
              <w:jc w:val="left"/>
            </w:pPr>
            <w:r>
              <w:rPr>
                <w:b/>
                <w:sz w:val="20"/>
              </w:rPr>
              <w:t xml:space="preserve">Subset  </w:t>
            </w:r>
          </w:p>
        </w:tc>
        <w:tc>
          <w:tcPr>
            <w:tcW w:w="3825" w:type="dxa"/>
            <w:tcBorders>
              <w:top w:val="single" w:sz="4" w:space="0" w:color="B4C6E7"/>
              <w:left w:val="single" w:sz="4" w:space="0" w:color="B4C6E7"/>
              <w:bottom w:val="single" w:sz="2" w:space="0" w:color="FFFFFF"/>
              <w:right w:val="single" w:sz="4" w:space="0" w:color="B4C6E7"/>
            </w:tcBorders>
            <w:shd w:val="clear" w:color="auto" w:fill="F2F2F2"/>
          </w:tcPr>
          <w:p w14:paraId="2AC33C1B" w14:textId="77777777" w:rsidR="000A5B37" w:rsidRDefault="00000000">
            <w:pPr>
              <w:spacing w:after="0" w:line="259" w:lineRule="auto"/>
              <w:ind w:left="0" w:right="0" w:firstLine="0"/>
              <w:jc w:val="left"/>
            </w:pPr>
            <w:r>
              <w:rPr>
                <w:b/>
                <w:sz w:val="20"/>
              </w:rPr>
              <w:t xml:space="preserve">Markers </w:t>
            </w:r>
          </w:p>
        </w:tc>
      </w:tr>
      <w:tr w:rsidR="000A5B37" w14:paraId="696F7254" w14:textId="77777777">
        <w:trPr>
          <w:trHeight w:val="328"/>
        </w:trPr>
        <w:tc>
          <w:tcPr>
            <w:tcW w:w="3824" w:type="dxa"/>
            <w:tcBorders>
              <w:top w:val="single" w:sz="12" w:space="0" w:color="8EAADB"/>
              <w:left w:val="single" w:sz="4" w:space="0" w:color="B4C6E7"/>
              <w:bottom w:val="single" w:sz="4" w:space="0" w:color="B4C6E7"/>
              <w:right w:val="single" w:sz="4" w:space="0" w:color="B4C6E7"/>
            </w:tcBorders>
          </w:tcPr>
          <w:p w14:paraId="685972F7" w14:textId="77777777" w:rsidR="000A5B37" w:rsidRDefault="00000000">
            <w:pPr>
              <w:spacing w:after="0" w:line="259" w:lineRule="auto"/>
              <w:ind w:left="0" w:right="0" w:firstLine="0"/>
              <w:jc w:val="left"/>
            </w:pPr>
            <w:r>
              <w:rPr>
                <w:b/>
                <w:sz w:val="20"/>
              </w:rPr>
              <w:t>Binnen CD19</w:t>
            </w:r>
            <w:r>
              <w:rPr>
                <w:b/>
                <w:sz w:val="20"/>
                <w:vertAlign w:val="superscript"/>
              </w:rPr>
              <w:t>+</w:t>
            </w:r>
            <w:r>
              <w:rPr>
                <w:b/>
                <w:sz w:val="20"/>
              </w:rPr>
              <w:t xml:space="preserve"> (of CD20</w:t>
            </w:r>
            <w:r>
              <w:rPr>
                <w:b/>
                <w:sz w:val="20"/>
                <w:vertAlign w:val="superscript"/>
              </w:rPr>
              <w:t>+</w:t>
            </w:r>
            <w:r>
              <w:rPr>
                <w:b/>
                <w:sz w:val="20"/>
              </w:rPr>
              <w:t xml:space="preserve">) B-cellen </w:t>
            </w:r>
          </w:p>
        </w:tc>
        <w:tc>
          <w:tcPr>
            <w:tcW w:w="3825" w:type="dxa"/>
            <w:tcBorders>
              <w:top w:val="single" w:sz="2" w:space="0" w:color="FFFFFF"/>
              <w:left w:val="single" w:sz="4" w:space="0" w:color="B4C6E7"/>
              <w:bottom w:val="single" w:sz="4" w:space="0" w:color="B4C6E7"/>
              <w:right w:val="single" w:sz="4" w:space="0" w:color="B4C6E7"/>
            </w:tcBorders>
          </w:tcPr>
          <w:p w14:paraId="4A9C4E2A" w14:textId="77777777" w:rsidR="000A5B37" w:rsidRDefault="00000000">
            <w:pPr>
              <w:spacing w:after="0" w:line="259" w:lineRule="auto"/>
              <w:ind w:left="0" w:right="0" w:firstLine="0"/>
              <w:jc w:val="left"/>
            </w:pPr>
            <w:r>
              <w:rPr>
                <w:sz w:val="20"/>
              </w:rPr>
              <w:t xml:space="preserve"> </w:t>
            </w:r>
          </w:p>
        </w:tc>
      </w:tr>
      <w:tr w:rsidR="000A5B37" w14:paraId="1D40835E" w14:textId="77777777">
        <w:trPr>
          <w:trHeight w:val="322"/>
        </w:trPr>
        <w:tc>
          <w:tcPr>
            <w:tcW w:w="3824" w:type="dxa"/>
            <w:tcBorders>
              <w:top w:val="single" w:sz="4" w:space="0" w:color="B4C6E7"/>
              <w:left w:val="single" w:sz="4" w:space="0" w:color="B4C6E7"/>
              <w:bottom w:val="single" w:sz="4" w:space="0" w:color="B4C6E7"/>
              <w:right w:val="single" w:sz="4" w:space="0" w:color="B4C6E7"/>
            </w:tcBorders>
          </w:tcPr>
          <w:p w14:paraId="7381EEE2" w14:textId="77777777" w:rsidR="000A5B37" w:rsidRDefault="00000000">
            <w:pPr>
              <w:spacing w:after="0" w:line="259" w:lineRule="auto"/>
              <w:ind w:left="0" w:right="0" w:firstLine="0"/>
              <w:jc w:val="left"/>
            </w:pPr>
            <w:r>
              <w:rPr>
                <w:sz w:val="20"/>
              </w:rPr>
              <w:t xml:space="preserve">Memory B-cellen </w:t>
            </w:r>
          </w:p>
        </w:tc>
        <w:tc>
          <w:tcPr>
            <w:tcW w:w="3825" w:type="dxa"/>
            <w:tcBorders>
              <w:top w:val="single" w:sz="4" w:space="0" w:color="B4C6E7"/>
              <w:left w:val="single" w:sz="4" w:space="0" w:color="B4C6E7"/>
              <w:bottom w:val="single" w:sz="4" w:space="0" w:color="B4C6E7"/>
              <w:right w:val="single" w:sz="4" w:space="0" w:color="B4C6E7"/>
            </w:tcBorders>
          </w:tcPr>
          <w:p w14:paraId="5AB6434B" w14:textId="77777777" w:rsidR="000A5B37" w:rsidRDefault="00000000">
            <w:pPr>
              <w:spacing w:after="0" w:line="259" w:lineRule="auto"/>
              <w:ind w:left="0" w:right="0" w:firstLine="0"/>
              <w:jc w:val="left"/>
            </w:pPr>
            <w:r>
              <w:rPr>
                <w:sz w:val="20"/>
              </w:rPr>
              <w:t>CD27</w:t>
            </w:r>
            <w:r>
              <w:rPr>
                <w:sz w:val="20"/>
                <w:vertAlign w:val="superscript"/>
              </w:rPr>
              <w:t>+</w:t>
            </w:r>
            <w:r>
              <w:rPr>
                <w:sz w:val="20"/>
              </w:rPr>
              <w:t xml:space="preserve"> IgD</w:t>
            </w:r>
            <w:r>
              <w:rPr>
                <w:sz w:val="20"/>
                <w:vertAlign w:val="superscript"/>
              </w:rPr>
              <w:t>-</w:t>
            </w:r>
            <w:r>
              <w:rPr>
                <w:sz w:val="20"/>
              </w:rPr>
              <w:t xml:space="preserve"> CD38</w:t>
            </w:r>
            <w:r>
              <w:rPr>
                <w:sz w:val="20"/>
                <w:vertAlign w:val="superscript"/>
              </w:rPr>
              <w:t>int</w:t>
            </w:r>
            <w:r>
              <w:rPr>
                <w:sz w:val="20"/>
              </w:rPr>
              <w:t xml:space="preserve"> </w:t>
            </w:r>
          </w:p>
        </w:tc>
      </w:tr>
      <w:tr w:rsidR="000A5B37" w14:paraId="2B3B8B9E" w14:textId="77777777">
        <w:trPr>
          <w:trHeight w:val="319"/>
        </w:trPr>
        <w:tc>
          <w:tcPr>
            <w:tcW w:w="3824" w:type="dxa"/>
            <w:tcBorders>
              <w:top w:val="single" w:sz="4" w:space="0" w:color="B4C6E7"/>
              <w:left w:val="single" w:sz="4" w:space="0" w:color="B4C6E7"/>
              <w:bottom w:val="single" w:sz="4" w:space="0" w:color="B4C6E7"/>
              <w:right w:val="single" w:sz="4" w:space="0" w:color="B4C6E7"/>
            </w:tcBorders>
          </w:tcPr>
          <w:p w14:paraId="4EFC6EEF" w14:textId="77777777" w:rsidR="000A5B37" w:rsidRDefault="00000000">
            <w:pPr>
              <w:spacing w:after="0" w:line="259" w:lineRule="auto"/>
              <w:ind w:left="0" w:right="0" w:firstLine="0"/>
              <w:jc w:val="left"/>
            </w:pPr>
            <w:r>
              <w:rPr>
                <w:sz w:val="20"/>
              </w:rPr>
              <w:t xml:space="preserve">    • Memory IgM </w:t>
            </w:r>
          </w:p>
        </w:tc>
        <w:tc>
          <w:tcPr>
            <w:tcW w:w="3825" w:type="dxa"/>
            <w:tcBorders>
              <w:top w:val="single" w:sz="4" w:space="0" w:color="B4C6E7"/>
              <w:left w:val="single" w:sz="4" w:space="0" w:color="B4C6E7"/>
              <w:bottom w:val="single" w:sz="4" w:space="0" w:color="B4C6E7"/>
              <w:right w:val="single" w:sz="4" w:space="0" w:color="B4C6E7"/>
            </w:tcBorders>
          </w:tcPr>
          <w:p w14:paraId="4538B318" w14:textId="77777777" w:rsidR="000A5B37" w:rsidRDefault="00000000">
            <w:pPr>
              <w:spacing w:after="0" w:line="259" w:lineRule="auto"/>
              <w:ind w:left="0" w:right="0" w:firstLine="0"/>
              <w:jc w:val="left"/>
            </w:pPr>
            <w:r>
              <w:rPr>
                <w:sz w:val="20"/>
              </w:rPr>
              <w:t>CD27</w:t>
            </w:r>
            <w:r>
              <w:rPr>
                <w:sz w:val="13"/>
              </w:rPr>
              <w:t xml:space="preserve">+ </w:t>
            </w:r>
            <w:r>
              <w:rPr>
                <w:sz w:val="20"/>
              </w:rPr>
              <w:t>IgD</w:t>
            </w:r>
            <w:r>
              <w:rPr>
                <w:sz w:val="13"/>
              </w:rPr>
              <w:t xml:space="preserve">- </w:t>
            </w:r>
            <w:r>
              <w:rPr>
                <w:sz w:val="20"/>
              </w:rPr>
              <w:t>IgM</w:t>
            </w:r>
            <w:r>
              <w:rPr>
                <w:sz w:val="13"/>
              </w:rPr>
              <w:t xml:space="preserve">+ </w:t>
            </w:r>
            <w:r>
              <w:rPr>
                <w:sz w:val="20"/>
              </w:rPr>
              <w:t>CD38</w:t>
            </w:r>
            <w:r>
              <w:rPr>
                <w:sz w:val="13"/>
              </w:rPr>
              <w:t>int</w:t>
            </w:r>
            <w:r>
              <w:rPr>
                <w:sz w:val="20"/>
              </w:rPr>
              <w:t xml:space="preserve"> </w:t>
            </w:r>
          </w:p>
        </w:tc>
      </w:tr>
      <w:tr w:rsidR="000A5B37" w14:paraId="2502D443" w14:textId="77777777">
        <w:trPr>
          <w:trHeight w:val="319"/>
        </w:trPr>
        <w:tc>
          <w:tcPr>
            <w:tcW w:w="3824" w:type="dxa"/>
            <w:tcBorders>
              <w:top w:val="single" w:sz="4" w:space="0" w:color="B4C6E7"/>
              <w:left w:val="single" w:sz="4" w:space="0" w:color="B4C6E7"/>
              <w:bottom w:val="single" w:sz="4" w:space="0" w:color="B4C6E7"/>
              <w:right w:val="single" w:sz="4" w:space="0" w:color="B4C6E7"/>
            </w:tcBorders>
          </w:tcPr>
          <w:p w14:paraId="2667F575" w14:textId="77777777" w:rsidR="000A5B37" w:rsidRDefault="00000000">
            <w:pPr>
              <w:spacing w:after="0" w:line="259" w:lineRule="auto"/>
              <w:ind w:left="0" w:right="0" w:firstLine="0"/>
              <w:jc w:val="left"/>
            </w:pPr>
            <w:r>
              <w:rPr>
                <w:sz w:val="20"/>
              </w:rPr>
              <w:t xml:space="preserve">    • Memory IgG </w:t>
            </w:r>
          </w:p>
        </w:tc>
        <w:tc>
          <w:tcPr>
            <w:tcW w:w="3825" w:type="dxa"/>
            <w:tcBorders>
              <w:top w:val="single" w:sz="4" w:space="0" w:color="B4C6E7"/>
              <w:left w:val="single" w:sz="4" w:space="0" w:color="B4C6E7"/>
              <w:bottom w:val="single" w:sz="4" w:space="0" w:color="B4C6E7"/>
              <w:right w:val="single" w:sz="4" w:space="0" w:color="B4C6E7"/>
            </w:tcBorders>
          </w:tcPr>
          <w:p w14:paraId="7D4040CC" w14:textId="77777777" w:rsidR="000A5B37" w:rsidRDefault="00000000">
            <w:pPr>
              <w:spacing w:after="0" w:line="259" w:lineRule="auto"/>
              <w:ind w:left="0" w:right="0" w:firstLine="0"/>
              <w:jc w:val="left"/>
            </w:pPr>
            <w:r>
              <w:rPr>
                <w:sz w:val="20"/>
              </w:rPr>
              <w:t>CD27</w:t>
            </w:r>
            <w:r>
              <w:rPr>
                <w:sz w:val="13"/>
              </w:rPr>
              <w:t xml:space="preserve">+ </w:t>
            </w:r>
            <w:r>
              <w:rPr>
                <w:sz w:val="20"/>
              </w:rPr>
              <w:t>IgD</w:t>
            </w:r>
            <w:r>
              <w:rPr>
                <w:sz w:val="13"/>
              </w:rPr>
              <w:t xml:space="preserve">- </w:t>
            </w:r>
            <w:r>
              <w:rPr>
                <w:sz w:val="20"/>
              </w:rPr>
              <w:t>IgG</w:t>
            </w:r>
            <w:r>
              <w:rPr>
                <w:sz w:val="13"/>
              </w:rPr>
              <w:t xml:space="preserve">+ </w:t>
            </w:r>
            <w:r>
              <w:rPr>
                <w:sz w:val="20"/>
              </w:rPr>
              <w:t>CD38</w:t>
            </w:r>
            <w:r>
              <w:rPr>
                <w:sz w:val="13"/>
              </w:rPr>
              <w:t>int</w:t>
            </w:r>
            <w:r>
              <w:rPr>
                <w:sz w:val="20"/>
              </w:rPr>
              <w:t xml:space="preserve"> </w:t>
            </w:r>
          </w:p>
        </w:tc>
      </w:tr>
      <w:tr w:rsidR="000A5B37" w14:paraId="1F806654" w14:textId="77777777">
        <w:trPr>
          <w:trHeight w:val="322"/>
        </w:trPr>
        <w:tc>
          <w:tcPr>
            <w:tcW w:w="3824" w:type="dxa"/>
            <w:tcBorders>
              <w:top w:val="single" w:sz="4" w:space="0" w:color="B4C6E7"/>
              <w:left w:val="single" w:sz="4" w:space="0" w:color="B4C6E7"/>
              <w:bottom w:val="single" w:sz="4" w:space="0" w:color="B4C6E7"/>
              <w:right w:val="single" w:sz="4" w:space="0" w:color="B4C6E7"/>
            </w:tcBorders>
          </w:tcPr>
          <w:p w14:paraId="7895D572" w14:textId="77777777" w:rsidR="000A5B37" w:rsidRDefault="00000000">
            <w:pPr>
              <w:spacing w:after="0" w:line="259" w:lineRule="auto"/>
              <w:ind w:left="0" w:right="0" w:firstLine="0"/>
              <w:jc w:val="left"/>
            </w:pPr>
            <w:r>
              <w:rPr>
                <w:sz w:val="20"/>
              </w:rPr>
              <w:t xml:space="preserve">    • Memory IgA </w:t>
            </w:r>
          </w:p>
        </w:tc>
        <w:tc>
          <w:tcPr>
            <w:tcW w:w="3825" w:type="dxa"/>
            <w:tcBorders>
              <w:top w:val="single" w:sz="4" w:space="0" w:color="B4C6E7"/>
              <w:left w:val="single" w:sz="4" w:space="0" w:color="B4C6E7"/>
              <w:bottom w:val="single" w:sz="4" w:space="0" w:color="B4C6E7"/>
              <w:right w:val="single" w:sz="4" w:space="0" w:color="B4C6E7"/>
            </w:tcBorders>
          </w:tcPr>
          <w:p w14:paraId="272A5EB7" w14:textId="77777777" w:rsidR="000A5B37" w:rsidRDefault="00000000">
            <w:pPr>
              <w:spacing w:after="0" w:line="259" w:lineRule="auto"/>
              <w:ind w:left="0" w:right="0" w:firstLine="0"/>
              <w:jc w:val="left"/>
            </w:pPr>
            <w:r>
              <w:rPr>
                <w:sz w:val="20"/>
              </w:rPr>
              <w:t>CD27</w:t>
            </w:r>
            <w:r>
              <w:rPr>
                <w:sz w:val="13"/>
              </w:rPr>
              <w:t xml:space="preserve">+ </w:t>
            </w:r>
            <w:r>
              <w:rPr>
                <w:sz w:val="20"/>
              </w:rPr>
              <w:t>IgD</w:t>
            </w:r>
            <w:r>
              <w:rPr>
                <w:sz w:val="13"/>
              </w:rPr>
              <w:t xml:space="preserve">- </w:t>
            </w:r>
            <w:r>
              <w:rPr>
                <w:sz w:val="20"/>
              </w:rPr>
              <w:t>IgA</w:t>
            </w:r>
            <w:r>
              <w:rPr>
                <w:sz w:val="13"/>
              </w:rPr>
              <w:t xml:space="preserve">+ </w:t>
            </w:r>
            <w:r>
              <w:rPr>
                <w:sz w:val="20"/>
              </w:rPr>
              <w:t>CD38</w:t>
            </w:r>
            <w:r>
              <w:rPr>
                <w:sz w:val="13"/>
              </w:rPr>
              <w:t>int</w:t>
            </w:r>
            <w:r>
              <w:rPr>
                <w:sz w:val="20"/>
              </w:rPr>
              <w:t xml:space="preserve"> </w:t>
            </w:r>
          </w:p>
        </w:tc>
      </w:tr>
      <w:tr w:rsidR="000A5B37" w14:paraId="600C58FB" w14:textId="77777777">
        <w:trPr>
          <w:trHeight w:val="319"/>
        </w:trPr>
        <w:tc>
          <w:tcPr>
            <w:tcW w:w="3824" w:type="dxa"/>
            <w:tcBorders>
              <w:top w:val="single" w:sz="4" w:space="0" w:color="B4C6E7"/>
              <w:left w:val="single" w:sz="4" w:space="0" w:color="B4C6E7"/>
              <w:bottom w:val="single" w:sz="4" w:space="0" w:color="B4C6E7"/>
              <w:right w:val="single" w:sz="4" w:space="0" w:color="B4C6E7"/>
            </w:tcBorders>
          </w:tcPr>
          <w:p w14:paraId="1BE261CF" w14:textId="77777777" w:rsidR="000A5B37" w:rsidRDefault="00000000">
            <w:pPr>
              <w:spacing w:after="0" w:line="259" w:lineRule="auto"/>
              <w:ind w:left="0" w:right="0" w:firstLine="0"/>
              <w:jc w:val="left"/>
            </w:pPr>
            <w:r>
              <w:rPr>
                <w:sz w:val="20"/>
              </w:rPr>
              <w:t xml:space="preserve">    • Memory IgE </w:t>
            </w:r>
          </w:p>
        </w:tc>
        <w:tc>
          <w:tcPr>
            <w:tcW w:w="3825" w:type="dxa"/>
            <w:tcBorders>
              <w:top w:val="single" w:sz="4" w:space="0" w:color="B4C6E7"/>
              <w:left w:val="single" w:sz="4" w:space="0" w:color="B4C6E7"/>
              <w:bottom w:val="single" w:sz="4" w:space="0" w:color="B4C6E7"/>
              <w:right w:val="single" w:sz="4" w:space="0" w:color="B4C6E7"/>
            </w:tcBorders>
          </w:tcPr>
          <w:p w14:paraId="56CF0C01" w14:textId="77777777" w:rsidR="000A5B37" w:rsidRDefault="00000000">
            <w:pPr>
              <w:spacing w:after="0" w:line="259" w:lineRule="auto"/>
              <w:ind w:left="0" w:right="0" w:firstLine="0"/>
              <w:jc w:val="left"/>
            </w:pPr>
            <w:r>
              <w:rPr>
                <w:sz w:val="20"/>
              </w:rPr>
              <w:t>CD27</w:t>
            </w:r>
            <w:r>
              <w:rPr>
                <w:sz w:val="13"/>
              </w:rPr>
              <w:t xml:space="preserve">+ </w:t>
            </w:r>
            <w:r>
              <w:rPr>
                <w:sz w:val="20"/>
              </w:rPr>
              <w:t>IgD</w:t>
            </w:r>
            <w:r>
              <w:rPr>
                <w:sz w:val="13"/>
              </w:rPr>
              <w:t xml:space="preserve">- </w:t>
            </w:r>
            <w:r>
              <w:rPr>
                <w:sz w:val="20"/>
              </w:rPr>
              <w:t>IgE</w:t>
            </w:r>
            <w:r>
              <w:rPr>
                <w:sz w:val="13"/>
              </w:rPr>
              <w:t xml:space="preserve">+ </w:t>
            </w:r>
            <w:r>
              <w:rPr>
                <w:sz w:val="20"/>
              </w:rPr>
              <w:t>CD38</w:t>
            </w:r>
            <w:r>
              <w:rPr>
                <w:sz w:val="13"/>
              </w:rPr>
              <w:t>int</w:t>
            </w:r>
            <w:r>
              <w:rPr>
                <w:sz w:val="20"/>
              </w:rPr>
              <w:t xml:space="preserve"> </w:t>
            </w:r>
          </w:p>
        </w:tc>
      </w:tr>
      <w:tr w:rsidR="000A5B37" w14:paraId="3F7E2FE6" w14:textId="77777777">
        <w:trPr>
          <w:trHeight w:val="319"/>
        </w:trPr>
        <w:tc>
          <w:tcPr>
            <w:tcW w:w="3824" w:type="dxa"/>
            <w:tcBorders>
              <w:top w:val="single" w:sz="4" w:space="0" w:color="B4C6E7"/>
              <w:left w:val="single" w:sz="4" w:space="0" w:color="B4C6E7"/>
              <w:bottom w:val="single" w:sz="4" w:space="0" w:color="B4C6E7"/>
              <w:right w:val="single" w:sz="4" w:space="0" w:color="B4C6E7"/>
            </w:tcBorders>
          </w:tcPr>
          <w:p w14:paraId="54BE6E1F" w14:textId="77777777" w:rsidR="000A5B37" w:rsidRDefault="00000000">
            <w:pPr>
              <w:spacing w:after="0" w:line="259" w:lineRule="auto"/>
              <w:ind w:left="0" w:right="0" w:firstLine="0"/>
              <w:jc w:val="left"/>
            </w:pPr>
            <w:r>
              <w:rPr>
                <w:sz w:val="20"/>
              </w:rPr>
              <w:t>CD21</w:t>
            </w:r>
            <w:r>
              <w:rPr>
                <w:sz w:val="20"/>
                <w:vertAlign w:val="superscript"/>
              </w:rPr>
              <w:t>low</w:t>
            </w:r>
            <w:r>
              <w:rPr>
                <w:sz w:val="20"/>
              </w:rPr>
              <w:t xml:space="preserve"> B-cellen </w:t>
            </w:r>
          </w:p>
        </w:tc>
        <w:tc>
          <w:tcPr>
            <w:tcW w:w="3825" w:type="dxa"/>
            <w:tcBorders>
              <w:top w:val="single" w:sz="4" w:space="0" w:color="B4C6E7"/>
              <w:left w:val="single" w:sz="4" w:space="0" w:color="B4C6E7"/>
              <w:bottom w:val="single" w:sz="4" w:space="0" w:color="B4C6E7"/>
              <w:right w:val="single" w:sz="4" w:space="0" w:color="B4C6E7"/>
            </w:tcBorders>
          </w:tcPr>
          <w:p w14:paraId="28938C68" w14:textId="77777777" w:rsidR="000A5B37" w:rsidRDefault="00000000">
            <w:pPr>
              <w:spacing w:after="0" w:line="259" w:lineRule="auto"/>
              <w:ind w:left="0" w:right="0" w:firstLine="0"/>
              <w:jc w:val="left"/>
            </w:pPr>
            <w:r>
              <w:rPr>
                <w:sz w:val="20"/>
              </w:rPr>
              <w:t>CD21</w:t>
            </w:r>
            <w:r>
              <w:rPr>
                <w:sz w:val="13"/>
              </w:rPr>
              <w:t xml:space="preserve">low </w:t>
            </w:r>
            <w:r>
              <w:rPr>
                <w:sz w:val="20"/>
              </w:rPr>
              <w:t>CD38</w:t>
            </w:r>
            <w:r>
              <w:rPr>
                <w:sz w:val="13"/>
              </w:rPr>
              <w:t>-</w:t>
            </w:r>
            <w:r>
              <w:rPr>
                <w:sz w:val="20"/>
              </w:rPr>
              <w:t xml:space="preserve"> </w:t>
            </w:r>
          </w:p>
        </w:tc>
      </w:tr>
    </w:tbl>
    <w:p w14:paraId="67005448" w14:textId="77777777" w:rsidR="000A5B37" w:rsidRDefault="00000000">
      <w:pPr>
        <w:spacing w:after="0" w:line="259" w:lineRule="auto"/>
        <w:ind w:left="0" w:right="0" w:firstLine="0"/>
        <w:jc w:val="left"/>
      </w:pPr>
      <w:r>
        <w:t xml:space="preserve"> </w:t>
      </w:r>
    </w:p>
    <w:p w14:paraId="12AE442C" w14:textId="77777777" w:rsidR="000A5B37" w:rsidRDefault="00000000">
      <w:pPr>
        <w:ind w:left="-5" w:right="0"/>
      </w:pPr>
      <w:r>
        <w:t xml:space="preserve">Tabel 8. T-cel subsets  (basis) </w:t>
      </w:r>
    </w:p>
    <w:tbl>
      <w:tblPr>
        <w:tblStyle w:val="TableGrid"/>
        <w:tblW w:w="7649" w:type="dxa"/>
        <w:tblInd w:w="7" w:type="dxa"/>
        <w:tblCellMar>
          <w:top w:w="44" w:type="dxa"/>
          <w:left w:w="108" w:type="dxa"/>
          <w:bottom w:w="0" w:type="dxa"/>
          <w:right w:w="115" w:type="dxa"/>
        </w:tblCellMar>
        <w:tblLook w:val="04A0" w:firstRow="1" w:lastRow="0" w:firstColumn="1" w:lastColumn="0" w:noHBand="0" w:noVBand="1"/>
      </w:tblPr>
      <w:tblGrid>
        <w:gridCol w:w="3824"/>
        <w:gridCol w:w="3825"/>
      </w:tblGrid>
      <w:tr w:rsidR="000A5B37" w14:paraId="1636E1A0" w14:textId="77777777">
        <w:trPr>
          <w:trHeight w:val="355"/>
        </w:trPr>
        <w:tc>
          <w:tcPr>
            <w:tcW w:w="3824" w:type="dxa"/>
            <w:tcBorders>
              <w:top w:val="single" w:sz="4" w:space="0" w:color="B4C6E7"/>
              <w:left w:val="single" w:sz="4" w:space="0" w:color="B4C6E7"/>
              <w:bottom w:val="single" w:sz="12" w:space="0" w:color="8EAADB"/>
              <w:right w:val="single" w:sz="4" w:space="0" w:color="B4C6E7"/>
            </w:tcBorders>
            <w:shd w:val="clear" w:color="auto" w:fill="F2F2F2"/>
          </w:tcPr>
          <w:p w14:paraId="427A02AF" w14:textId="77777777" w:rsidR="000A5B37" w:rsidRDefault="00000000">
            <w:pPr>
              <w:spacing w:after="0" w:line="259" w:lineRule="auto"/>
              <w:ind w:left="0" w:right="0" w:firstLine="0"/>
              <w:jc w:val="left"/>
            </w:pPr>
            <w:r>
              <w:rPr>
                <w:b/>
                <w:sz w:val="20"/>
              </w:rPr>
              <w:t xml:space="preserve">Subset </w:t>
            </w:r>
          </w:p>
        </w:tc>
        <w:tc>
          <w:tcPr>
            <w:tcW w:w="3825" w:type="dxa"/>
            <w:tcBorders>
              <w:top w:val="single" w:sz="4" w:space="0" w:color="B4C6E7"/>
              <w:left w:val="single" w:sz="4" w:space="0" w:color="B4C6E7"/>
              <w:bottom w:val="single" w:sz="12" w:space="0" w:color="8EAADB"/>
              <w:right w:val="single" w:sz="4" w:space="0" w:color="B4C6E7"/>
            </w:tcBorders>
            <w:shd w:val="clear" w:color="auto" w:fill="F2F2F2"/>
            <w:vAlign w:val="bottom"/>
          </w:tcPr>
          <w:p w14:paraId="5DC5BDFA" w14:textId="77777777" w:rsidR="000A5B37" w:rsidRDefault="00000000">
            <w:pPr>
              <w:spacing w:after="0" w:line="259" w:lineRule="auto"/>
              <w:ind w:left="0" w:right="0" w:firstLine="0"/>
              <w:jc w:val="left"/>
            </w:pPr>
            <w:r>
              <w:rPr>
                <w:b/>
                <w:sz w:val="20"/>
              </w:rPr>
              <w:t xml:space="preserve">Markers </w:t>
            </w:r>
          </w:p>
          <w:p w14:paraId="061607D3" w14:textId="77777777" w:rsidR="000A5B37" w:rsidRDefault="00000000">
            <w:pPr>
              <w:spacing w:after="0" w:line="259" w:lineRule="auto"/>
              <w:ind w:left="0" w:right="0" w:firstLine="0"/>
              <w:jc w:val="left"/>
            </w:pPr>
            <w:r>
              <w:rPr>
                <w:b/>
                <w:sz w:val="20"/>
              </w:rPr>
              <w:t xml:space="preserve"> </w:t>
            </w:r>
          </w:p>
        </w:tc>
      </w:tr>
      <w:tr w:rsidR="000A5B37" w14:paraId="36172169" w14:textId="77777777">
        <w:trPr>
          <w:trHeight w:val="361"/>
        </w:trPr>
        <w:tc>
          <w:tcPr>
            <w:tcW w:w="3824" w:type="dxa"/>
            <w:tcBorders>
              <w:top w:val="single" w:sz="12" w:space="0" w:color="8EAADB"/>
              <w:left w:val="single" w:sz="4" w:space="0" w:color="B4C6E7"/>
              <w:bottom w:val="single" w:sz="4" w:space="0" w:color="B4C6E7"/>
              <w:right w:val="single" w:sz="4" w:space="0" w:color="B4C6E7"/>
            </w:tcBorders>
          </w:tcPr>
          <w:p w14:paraId="527A84E6" w14:textId="77777777" w:rsidR="000A5B37" w:rsidRDefault="00000000">
            <w:pPr>
              <w:spacing w:after="0" w:line="259" w:lineRule="auto"/>
              <w:ind w:left="0" w:right="0" w:firstLine="0"/>
              <w:jc w:val="left"/>
            </w:pPr>
            <w:r>
              <w:rPr>
                <w:b/>
                <w:sz w:val="20"/>
              </w:rPr>
              <w:t>Binnen CD3</w:t>
            </w:r>
            <w:r>
              <w:rPr>
                <w:b/>
                <w:sz w:val="20"/>
                <w:vertAlign w:val="superscript"/>
              </w:rPr>
              <w:t>+</w:t>
            </w:r>
            <w:r>
              <w:rPr>
                <w:b/>
                <w:sz w:val="20"/>
              </w:rPr>
              <w:t xml:space="preserve"> T-cellen </w:t>
            </w:r>
          </w:p>
        </w:tc>
        <w:tc>
          <w:tcPr>
            <w:tcW w:w="3825" w:type="dxa"/>
            <w:tcBorders>
              <w:top w:val="single" w:sz="12" w:space="0" w:color="8EAADB"/>
              <w:left w:val="single" w:sz="4" w:space="0" w:color="B4C6E7"/>
              <w:bottom w:val="single" w:sz="4" w:space="0" w:color="B4C6E7"/>
              <w:right w:val="single" w:sz="4" w:space="0" w:color="B4C6E7"/>
            </w:tcBorders>
          </w:tcPr>
          <w:p w14:paraId="41495A39" w14:textId="77777777" w:rsidR="000A5B37" w:rsidRDefault="000A5B37">
            <w:pPr>
              <w:spacing w:after="160" w:line="259" w:lineRule="auto"/>
              <w:ind w:left="0" w:right="0" w:firstLine="0"/>
              <w:jc w:val="left"/>
            </w:pPr>
          </w:p>
        </w:tc>
      </w:tr>
      <w:tr w:rsidR="000A5B37" w14:paraId="71DB79BC" w14:textId="77777777">
        <w:trPr>
          <w:trHeight w:val="351"/>
        </w:trPr>
        <w:tc>
          <w:tcPr>
            <w:tcW w:w="3824" w:type="dxa"/>
            <w:tcBorders>
              <w:top w:val="single" w:sz="4" w:space="0" w:color="B4C6E7"/>
              <w:left w:val="single" w:sz="4" w:space="0" w:color="B4C6E7"/>
              <w:bottom w:val="single" w:sz="4" w:space="0" w:color="B4C6E7"/>
              <w:right w:val="single" w:sz="4" w:space="0" w:color="B4C6E7"/>
            </w:tcBorders>
          </w:tcPr>
          <w:p w14:paraId="306997C8" w14:textId="77777777" w:rsidR="000A5B37" w:rsidRDefault="00000000">
            <w:pPr>
              <w:spacing w:after="0" w:line="259" w:lineRule="auto"/>
              <w:ind w:left="0" w:right="0" w:firstLine="0"/>
              <w:jc w:val="left"/>
            </w:pPr>
            <w:r>
              <w:rPr>
                <w:sz w:val="20"/>
              </w:rPr>
              <w:t>CD4</w:t>
            </w:r>
            <w:r>
              <w:rPr>
                <w:sz w:val="20"/>
                <w:vertAlign w:val="superscript"/>
              </w:rPr>
              <w:t>-</w:t>
            </w:r>
            <w:r>
              <w:rPr>
                <w:sz w:val="20"/>
              </w:rPr>
              <w:t>CD8</w:t>
            </w:r>
            <w:r>
              <w:rPr>
                <w:sz w:val="20"/>
                <w:vertAlign w:val="superscript"/>
              </w:rPr>
              <w:t xml:space="preserve">- </w:t>
            </w:r>
            <w:r>
              <w:rPr>
                <w:sz w:val="20"/>
              </w:rPr>
              <w:t>binnen CD3</w:t>
            </w:r>
            <w:r>
              <w:rPr>
                <w:sz w:val="20"/>
                <w:vertAlign w:val="superscript"/>
              </w:rPr>
              <w:t>+</w:t>
            </w:r>
            <w:r>
              <w:rPr>
                <w:sz w:val="20"/>
              </w:rPr>
              <w:t>TCRαβ</w:t>
            </w:r>
            <w:r>
              <w:rPr>
                <w:sz w:val="20"/>
                <w:vertAlign w:val="superscript"/>
              </w:rPr>
              <w:t>+</w:t>
            </w:r>
            <w:r>
              <w:rPr>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5DF096F1" w14:textId="77777777" w:rsidR="000A5B37" w:rsidRDefault="00000000">
            <w:pPr>
              <w:spacing w:after="0" w:line="259" w:lineRule="auto"/>
              <w:ind w:left="0" w:right="0" w:firstLine="0"/>
              <w:jc w:val="left"/>
            </w:pPr>
            <w:r>
              <w:rPr>
                <w:sz w:val="20"/>
              </w:rPr>
              <w:t xml:space="preserve">CD45, CD3, CD4, CD8, TCRαβ of TCRγδ </w:t>
            </w:r>
          </w:p>
        </w:tc>
      </w:tr>
      <w:tr w:rsidR="000A5B37" w14:paraId="33E2D251" w14:textId="77777777">
        <w:trPr>
          <w:trHeight w:val="348"/>
        </w:trPr>
        <w:tc>
          <w:tcPr>
            <w:tcW w:w="3824" w:type="dxa"/>
            <w:tcBorders>
              <w:top w:val="single" w:sz="4" w:space="0" w:color="B4C6E7"/>
              <w:left w:val="single" w:sz="4" w:space="0" w:color="B4C6E7"/>
              <w:bottom w:val="single" w:sz="4" w:space="0" w:color="B4C6E7"/>
              <w:right w:val="single" w:sz="4" w:space="0" w:color="B4C6E7"/>
            </w:tcBorders>
          </w:tcPr>
          <w:p w14:paraId="0BDA0781" w14:textId="77777777" w:rsidR="000A5B37" w:rsidRDefault="00000000">
            <w:pPr>
              <w:spacing w:after="0" w:line="259" w:lineRule="auto"/>
              <w:ind w:left="0" w:right="0" w:firstLine="0"/>
              <w:jc w:val="left"/>
            </w:pPr>
            <w:r>
              <w:rPr>
                <w:sz w:val="20"/>
              </w:rPr>
              <w:t>TCRγδ</w:t>
            </w:r>
            <w:r>
              <w:rPr>
                <w:sz w:val="20"/>
                <w:vertAlign w:val="superscript"/>
              </w:rPr>
              <w:t xml:space="preserve">+ </w:t>
            </w:r>
            <w:r>
              <w:rPr>
                <w:sz w:val="20"/>
              </w:rPr>
              <w:t xml:space="preserve">T-cellen </w:t>
            </w:r>
          </w:p>
        </w:tc>
        <w:tc>
          <w:tcPr>
            <w:tcW w:w="3825" w:type="dxa"/>
            <w:tcBorders>
              <w:top w:val="single" w:sz="4" w:space="0" w:color="B4C6E7"/>
              <w:left w:val="single" w:sz="4" w:space="0" w:color="B4C6E7"/>
              <w:bottom w:val="single" w:sz="4" w:space="0" w:color="B4C6E7"/>
              <w:right w:val="single" w:sz="4" w:space="0" w:color="B4C6E7"/>
            </w:tcBorders>
          </w:tcPr>
          <w:p w14:paraId="465E8A0C" w14:textId="77777777" w:rsidR="000A5B37" w:rsidRDefault="00000000">
            <w:pPr>
              <w:spacing w:after="0" w:line="259" w:lineRule="auto"/>
              <w:ind w:left="0" w:right="0" w:firstLine="0"/>
              <w:jc w:val="left"/>
            </w:pPr>
            <w:r>
              <w:rPr>
                <w:sz w:val="20"/>
              </w:rPr>
              <w:t xml:space="preserve">CD45, CD3, CD4, CD8, TCRαβ of TCRγδ </w:t>
            </w:r>
          </w:p>
        </w:tc>
      </w:tr>
      <w:tr w:rsidR="000A5B37" w14:paraId="294A47F9" w14:textId="77777777">
        <w:trPr>
          <w:trHeight w:val="350"/>
        </w:trPr>
        <w:tc>
          <w:tcPr>
            <w:tcW w:w="3824" w:type="dxa"/>
            <w:tcBorders>
              <w:top w:val="single" w:sz="4" w:space="0" w:color="B4C6E7"/>
              <w:left w:val="single" w:sz="4" w:space="0" w:color="B4C6E7"/>
              <w:bottom w:val="single" w:sz="4" w:space="0" w:color="B4C6E7"/>
              <w:right w:val="single" w:sz="4" w:space="0" w:color="B4C6E7"/>
            </w:tcBorders>
          </w:tcPr>
          <w:p w14:paraId="1FAB2CBE" w14:textId="77777777" w:rsidR="000A5B37" w:rsidRDefault="00000000">
            <w:pPr>
              <w:spacing w:after="0" w:line="259" w:lineRule="auto"/>
              <w:ind w:left="0" w:right="0" w:firstLine="0"/>
              <w:jc w:val="left"/>
            </w:pPr>
            <w:r>
              <w:rPr>
                <w:sz w:val="20"/>
              </w:rPr>
              <w:t>TCRαβ</w:t>
            </w:r>
            <w:r>
              <w:rPr>
                <w:sz w:val="20"/>
                <w:vertAlign w:val="superscript"/>
              </w:rPr>
              <w:t>+</w:t>
            </w:r>
            <w:r>
              <w:rPr>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04E03B29" w14:textId="77777777" w:rsidR="000A5B37" w:rsidRDefault="00000000">
            <w:pPr>
              <w:spacing w:after="0" w:line="259" w:lineRule="auto"/>
              <w:ind w:left="0" w:right="0" w:firstLine="0"/>
              <w:jc w:val="left"/>
            </w:pPr>
            <w:r>
              <w:rPr>
                <w:sz w:val="20"/>
              </w:rPr>
              <w:t xml:space="preserve">CD45, CD3, CD4, CD8, TCRαβ of TCRγδ </w:t>
            </w:r>
          </w:p>
        </w:tc>
      </w:tr>
      <w:tr w:rsidR="000A5B37" w14:paraId="0E125A15" w14:textId="77777777">
        <w:trPr>
          <w:trHeight w:val="348"/>
        </w:trPr>
        <w:tc>
          <w:tcPr>
            <w:tcW w:w="3824" w:type="dxa"/>
            <w:tcBorders>
              <w:top w:val="single" w:sz="4" w:space="0" w:color="B4C6E7"/>
              <w:left w:val="single" w:sz="4" w:space="0" w:color="B4C6E7"/>
              <w:bottom w:val="single" w:sz="4" w:space="0" w:color="B4C6E7"/>
              <w:right w:val="single" w:sz="4" w:space="0" w:color="B4C6E7"/>
            </w:tcBorders>
          </w:tcPr>
          <w:p w14:paraId="21B7D827" w14:textId="77777777" w:rsidR="000A5B37" w:rsidRDefault="00000000">
            <w:pPr>
              <w:spacing w:after="0" w:line="259" w:lineRule="auto"/>
              <w:ind w:left="0" w:right="0" w:firstLine="0"/>
              <w:jc w:val="left"/>
            </w:pPr>
            <w:r>
              <w:rPr>
                <w:b/>
                <w:sz w:val="20"/>
              </w:rPr>
              <w:t>Binnen CD4</w:t>
            </w:r>
            <w:r>
              <w:rPr>
                <w:b/>
                <w:sz w:val="20"/>
                <w:vertAlign w:val="superscript"/>
              </w:rPr>
              <w:t>+</w:t>
            </w:r>
            <w:r>
              <w:rPr>
                <w:b/>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24EC0897" w14:textId="77777777" w:rsidR="000A5B37" w:rsidRDefault="00000000">
            <w:pPr>
              <w:spacing w:after="0" w:line="259" w:lineRule="auto"/>
              <w:ind w:left="0" w:right="0" w:firstLine="0"/>
              <w:jc w:val="left"/>
            </w:pPr>
            <w:r>
              <w:rPr>
                <w:sz w:val="20"/>
              </w:rPr>
              <w:t xml:space="preserve">  </w:t>
            </w:r>
          </w:p>
        </w:tc>
      </w:tr>
      <w:tr w:rsidR="000A5B37" w14:paraId="2F1231E9" w14:textId="77777777">
        <w:trPr>
          <w:trHeight w:val="350"/>
        </w:trPr>
        <w:tc>
          <w:tcPr>
            <w:tcW w:w="3824" w:type="dxa"/>
            <w:tcBorders>
              <w:top w:val="single" w:sz="4" w:space="0" w:color="B4C6E7"/>
              <w:left w:val="single" w:sz="4" w:space="0" w:color="B4C6E7"/>
              <w:bottom w:val="single" w:sz="4" w:space="0" w:color="B4C6E7"/>
              <w:right w:val="single" w:sz="4" w:space="0" w:color="B4C6E7"/>
            </w:tcBorders>
          </w:tcPr>
          <w:p w14:paraId="71168735" w14:textId="77777777" w:rsidR="000A5B37" w:rsidRDefault="00000000">
            <w:pPr>
              <w:spacing w:after="0" w:line="259" w:lineRule="auto"/>
              <w:ind w:left="0" w:right="0" w:firstLine="0"/>
              <w:jc w:val="left"/>
            </w:pPr>
            <w:r>
              <w:rPr>
                <w:sz w:val="20"/>
              </w:rPr>
              <w:t xml:space="preserve">Naïeve T-cellen </w:t>
            </w:r>
          </w:p>
        </w:tc>
        <w:tc>
          <w:tcPr>
            <w:tcW w:w="3825" w:type="dxa"/>
            <w:tcBorders>
              <w:top w:val="single" w:sz="4" w:space="0" w:color="B4C6E7"/>
              <w:left w:val="single" w:sz="4" w:space="0" w:color="B4C6E7"/>
              <w:bottom w:val="single" w:sz="4" w:space="0" w:color="B4C6E7"/>
              <w:right w:val="single" w:sz="4" w:space="0" w:color="B4C6E7"/>
            </w:tcBorders>
          </w:tcPr>
          <w:p w14:paraId="084DE336"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w:t>
            </w:r>
            <w:r>
              <w:rPr>
                <w:sz w:val="20"/>
              </w:rPr>
              <w:t xml:space="preserve"> i.c.m. CD27</w:t>
            </w:r>
            <w:r>
              <w:rPr>
                <w:sz w:val="20"/>
                <w:vertAlign w:val="superscript"/>
              </w:rPr>
              <w:t>+</w:t>
            </w:r>
            <w:r>
              <w:rPr>
                <w:sz w:val="20"/>
              </w:rPr>
              <w:t xml:space="preserve"> of CD28</w:t>
            </w:r>
            <w:r>
              <w:rPr>
                <w:sz w:val="20"/>
                <w:vertAlign w:val="superscript"/>
              </w:rPr>
              <w:t>+</w:t>
            </w:r>
            <w:r>
              <w:rPr>
                <w:sz w:val="20"/>
              </w:rPr>
              <w:t xml:space="preserve">  </w:t>
            </w:r>
          </w:p>
        </w:tc>
      </w:tr>
      <w:tr w:rsidR="000A5B37" w14:paraId="568F9A45" w14:textId="77777777">
        <w:trPr>
          <w:trHeight w:val="348"/>
        </w:trPr>
        <w:tc>
          <w:tcPr>
            <w:tcW w:w="3824" w:type="dxa"/>
            <w:tcBorders>
              <w:top w:val="single" w:sz="4" w:space="0" w:color="B4C6E7"/>
              <w:left w:val="single" w:sz="4" w:space="0" w:color="B4C6E7"/>
              <w:bottom w:val="single" w:sz="4" w:space="0" w:color="B4C6E7"/>
              <w:right w:val="single" w:sz="4" w:space="0" w:color="B4C6E7"/>
            </w:tcBorders>
          </w:tcPr>
          <w:p w14:paraId="68118053" w14:textId="77777777" w:rsidR="000A5B37" w:rsidRDefault="00000000">
            <w:pPr>
              <w:spacing w:after="0" w:line="259" w:lineRule="auto"/>
              <w:ind w:left="0" w:right="0" w:firstLine="0"/>
              <w:jc w:val="left"/>
            </w:pPr>
            <w:r>
              <w:rPr>
                <w:b/>
                <w:sz w:val="20"/>
              </w:rPr>
              <w:t>Binnen CD8</w:t>
            </w:r>
            <w:r>
              <w:rPr>
                <w:b/>
                <w:sz w:val="20"/>
                <w:vertAlign w:val="superscript"/>
              </w:rPr>
              <w:t>+</w:t>
            </w:r>
            <w:r>
              <w:rPr>
                <w:b/>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0274D157" w14:textId="77777777" w:rsidR="000A5B37" w:rsidRDefault="00000000">
            <w:pPr>
              <w:spacing w:after="0" w:line="259" w:lineRule="auto"/>
              <w:ind w:left="0" w:right="0" w:firstLine="0"/>
              <w:jc w:val="left"/>
            </w:pPr>
            <w:r>
              <w:rPr>
                <w:sz w:val="20"/>
              </w:rPr>
              <w:t xml:space="preserve">  </w:t>
            </w:r>
          </w:p>
        </w:tc>
      </w:tr>
      <w:tr w:rsidR="000A5B37" w14:paraId="3AB75386" w14:textId="77777777">
        <w:trPr>
          <w:trHeight w:val="350"/>
        </w:trPr>
        <w:tc>
          <w:tcPr>
            <w:tcW w:w="3824" w:type="dxa"/>
            <w:tcBorders>
              <w:top w:val="single" w:sz="4" w:space="0" w:color="B4C6E7"/>
              <w:left w:val="single" w:sz="4" w:space="0" w:color="B4C6E7"/>
              <w:bottom w:val="single" w:sz="4" w:space="0" w:color="B4C6E7"/>
              <w:right w:val="single" w:sz="4" w:space="0" w:color="B4C6E7"/>
            </w:tcBorders>
          </w:tcPr>
          <w:p w14:paraId="5E1E3497" w14:textId="77777777" w:rsidR="000A5B37" w:rsidRDefault="00000000">
            <w:pPr>
              <w:spacing w:after="0" w:line="259" w:lineRule="auto"/>
              <w:ind w:left="0" w:right="0" w:firstLine="0"/>
              <w:jc w:val="left"/>
            </w:pPr>
            <w:r>
              <w:rPr>
                <w:sz w:val="20"/>
              </w:rPr>
              <w:t xml:space="preserve">Naïeve T-cellen </w:t>
            </w:r>
          </w:p>
        </w:tc>
        <w:tc>
          <w:tcPr>
            <w:tcW w:w="3825" w:type="dxa"/>
            <w:tcBorders>
              <w:top w:val="single" w:sz="4" w:space="0" w:color="B4C6E7"/>
              <w:left w:val="single" w:sz="4" w:space="0" w:color="B4C6E7"/>
              <w:bottom w:val="single" w:sz="4" w:space="0" w:color="B4C6E7"/>
              <w:right w:val="single" w:sz="4" w:space="0" w:color="B4C6E7"/>
            </w:tcBorders>
          </w:tcPr>
          <w:p w14:paraId="47D4686F" w14:textId="77777777" w:rsidR="000A5B37" w:rsidRDefault="00000000">
            <w:pPr>
              <w:spacing w:after="0" w:line="259" w:lineRule="auto"/>
              <w:ind w:left="0" w:right="0" w:firstLine="0"/>
              <w:jc w:val="left"/>
            </w:pPr>
            <w:r>
              <w:rPr>
                <w:sz w:val="20"/>
              </w:rPr>
              <w:t>CD45R0</w:t>
            </w:r>
            <w:r>
              <w:rPr>
                <w:sz w:val="20"/>
                <w:vertAlign w:val="superscript"/>
              </w:rPr>
              <w:t xml:space="preserve">- </w:t>
            </w:r>
            <w:r>
              <w:rPr>
                <w:sz w:val="20"/>
              </w:rPr>
              <w:t>of CD45RA</w:t>
            </w:r>
            <w:r>
              <w:rPr>
                <w:sz w:val="20"/>
                <w:vertAlign w:val="superscript"/>
              </w:rPr>
              <w:t>+</w:t>
            </w:r>
            <w:r>
              <w:rPr>
                <w:sz w:val="20"/>
              </w:rPr>
              <w:t xml:space="preserve"> i.c.m. CD27</w:t>
            </w:r>
            <w:r>
              <w:rPr>
                <w:sz w:val="20"/>
                <w:vertAlign w:val="superscript"/>
              </w:rPr>
              <w:t>+</w:t>
            </w:r>
            <w:r>
              <w:rPr>
                <w:sz w:val="20"/>
              </w:rPr>
              <w:t xml:space="preserve"> of CD28</w:t>
            </w:r>
            <w:r>
              <w:rPr>
                <w:sz w:val="20"/>
                <w:vertAlign w:val="superscript"/>
              </w:rPr>
              <w:t>+</w:t>
            </w:r>
            <w:r>
              <w:rPr>
                <w:sz w:val="20"/>
              </w:rPr>
              <w:t xml:space="preserve">  </w:t>
            </w:r>
          </w:p>
        </w:tc>
      </w:tr>
    </w:tbl>
    <w:p w14:paraId="260C166B" w14:textId="77777777" w:rsidR="000A5B37" w:rsidRDefault="00000000">
      <w:pPr>
        <w:spacing w:after="0" w:line="259" w:lineRule="auto"/>
        <w:ind w:left="0" w:right="0" w:firstLine="0"/>
        <w:jc w:val="left"/>
      </w:pPr>
      <w:r>
        <w:lastRenderedPageBreak/>
        <w:t xml:space="preserve"> </w:t>
      </w:r>
    </w:p>
    <w:p w14:paraId="38C4DF70" w14:textId="77777777" w:rsidR="000A5B37" w:rsidRDefault="00000000">
      <w:pPr>
        <w:ind w:left="-5" w:right="0"/>
      </w:pPr>
      <w:r>
        <w:t xml:space="preserve">Tabel 9. T-cel subsets (aanvullend)  </w:t>
      </w:r>
    </w:p>
    <w:tbl>
      <w:tblPr>
        <w:tblStyle w:val="TableGrid"/>
        <w:tblW w:w="7649" w:type="dxa"/>
        <w:tblInd w:w="7" w:type="dxa"/>
        <w:tblCellMar>
          <w:top w:w="45" w:type="dxa"/>
          <w:left w:w="108" w:type="dxa"/>
          <w:bottom w:w="0" w:type="dxa"/>
          <w:right w:w="115" w:type="dxa"/>
        </w:tblCellMar>
        <w:tblLook w:val="04A0" w:firstRow="1" w:lastRow="0" w:firstColumn="1" w:lastColumn="0" w:noHBand="0" w:noVBand="1"/>
      </w:tblPr>
      <w:tblGrid>
        <w:gridCol w:w="3824"/>
        <w:gridCol w:w="3825"/>
      </w:tblGrid>
      <w:tr w:rsidR="000A5B37" w14:paraId="47847BB5" w14:textId="77777777">
        <w:trPr>
          <w:trHeight w:val="322"/>
        </w:trPr>
        <w:tc>
          <w:tcPr>
            <w:tcW w:w="3824" w:type="dxa"/>
            <w:tcBorders>
              <w:top w:val="single" w:sz="4" w:space="0" w:color="B4C6E7"/>
              <w:left w:val="single" w:sz="4" w:space="0" w:color="B4C6E7"/>
              <w:bottom w:val="single" w:sz="12" w:space="0" w:color="8EAADB"/>
              <w:right w:val="single" w:sz="4" w:space="0" w:color="B4C6E7"/>
            </w:tcBorders>
            <w:shd w:val="clear" w:color="auto" w:fill="F2F2F2"/>
          </w:tcPr>
          <w:p w14:paraId="73BC99FC" w14:textId="77777777" w:rsidR="000A5B37" w:rsidRDefault="00000000">
            <w:pPr>
              <w:spacing w:after="0" w:line="259" w:lineRule="auto"/>
              <w:ind w:left="0" w:right="0" w:firstLine="0"/>
              <w:jc w:val="left"/>
            </w:pPr>
            <w:r>
              <w:rPr>
                <w:b/>
                <w:sz w:val="20"/>
              </w:rPr>
              <w:t xml:space="preserve">Subset </w:t>
            </w:r>
          </w:p>
        </w:tc>
        <w:tc>
          <w:tcPr>
            <w:tcW w:w="3825" w:type="dxa"/>
            <w:tcBorders>
              <w:top w:val="single" w:sz="4" w:space="0" w:color="B4C6E7"/>
              <w:left w:val="single" w:sz="4" w:space="0" w:color="B4C6E7"/>
              <w:bottom w:val="single" w:sz="12" w:space="0" w:color="8EAADB"/>
              <w:right w:val="single" w:sz="4" w:space="0" w:color="B4C6E7"/>
            </w:tcBorders>
            <w:shd w:val="clear" w:color="auto" w:fill="F2F2F2"/>
          </w:tcPr>
          <w:p w14:paraId="256C51A2" w14:textId="77777777" w:rsidR="000A5B37" w:rsidRDefault="00000000">
            <w:pPr>
              <w:spacing w:after="0" w:line="259" w:lineRule="auto"/>
              <w:ind w:left="0" w:right="0" w:firstLine="0"/>
              <w:jc w:val="left"/>
            </w:pPr>
            <w:r>
              <w:rPr>
                <w:b/>
                <w:sz w:val="20"/>
              </w:rPr>
              <w:t xml:space="preserve">Markers </w:t>
            </w:r>
          </w:p>
        </w:tc>
      </w:tr>
      <w:tr w:rsidR="000A5B37" w14:paraId="47CE1765" w14:textId="77777777">
        <w:trPr>
          <w:trHeight w:val="328"/>
        </w:trPr>
        <w:tc>
          <w:tcPr>
            <w:tcW w:w="3824" w:type="dxa"/>
            <w:tcBorders>
              <w:top w:val="single" w:sz="12" w:space="0" w:color="8EAADB"/>
              <w:left w:val="single" w:sz="4" w:space="0" w:color="B4C6E7"/>
              <w:bottom w:val="single" w:sz="4" w:space="0" w:color="B4C6E7"/>
              <w:right w:val="single" w:sz="4" w:space="0" w:color="B4C6E7"/>
            </w:tcBorders>
          </w:tcPr>
          <w:p w14:paraId="408AB003" w14:textId="77777777" w:rsidR="000A5B37" w:rsidRDefault="00000000">
            <w:pPr>
              <w:spacing w:after="0" w:line="259" w:lineRule="auto"/>
              <w:ind w:left="0" w:right="0" w:firstLine="0"/>
              <w:jc w:val="left"/>
            </w:pPr>
            <w:r>
              <w:rPr>
                <w:b/>
                <w:sz w:val="20"/>
              </w:rPr>
              <w:t>Binnen CD4</w:t>
            </w:r>
            <w:r>
              <w:rPr>
                <w:b/>
                <w:sz w:val="20"/>
                <w:vertAlign w:val="superscript"/>
              </w:rPr>
              <w:t>+</w:t>
            </w:r>
            <w:r>
              <w:rPr>
                <w:b/>
                <w:sz w:val="20"/>
              </w:rPr>
              <w:t xml:space="preserve"> T-cellen </w:t>
            </w:r>
          </w:p>
        </w:tc>
        <w:tc>
          <w:tcPr>
            <w:tcW w:w="3825" w:type="dxa"/>
            <w:tcBorders>
              <w:top w:val="single" w:sz="12" w:space="0" w:color="8EAADB"/>
              <w:left w:val="single" w:sz="4" w:space="0" w:color="B4C6E7"/>
              <w:bottom w:val="single" w:sz="4" w:space="0" w:color="B4C6E7"/>
              <w:right w:val="single" w:sz="4" w:space="0" w:color="B4C6E7"/>
            </w:tcBorders>
          </w:tcPr>
          <w:p w14:paraId="238F3417" w14:textId="77777777" w:rsidR="000A5B37" w:rsidRDefault="00000000">
            <w:pPr>
              <w:spacing w:after="0" w:line="259" w:lineRule="auto"/>
              <w:ind w:left="0" w:right="0" w:firstLine="0"/>
              <w:jc w:val="left"/>
            </w:pPr>
            <w:r>
              <w:rPr>
                <w:sz w:val="20"/>
              </w:rPr>
              <w:t xml:space="preserve">  </w:t>
            </w:r>
          </w:p>
        </w:tc>
      </w:tr>
      <w:tr w:rsidR="000A5B37" w14:paraId="20658977" w14:textId="77777777">
        <w:trPr>
          <w:trHeight w:val="315"/>
        </w:trPr>
        <w:tc>
          <w:tcPr>
            <w:tcW w:w="3824" w:type="dxa"/>
            <w:tcBorders>
              <w:top w:val="single" w:sz="4" w:space="0" w:color="B4C6E7"/>
              <w:left w:val="single" w:sz="4" w:space="0" w:color="B4C6E7"/>
              <w:bottom w:val="single" w:sz="4" w:space="0" w:color="B4C6E7"/>
              <w:right w:val="single" w:sz="4" w:space="0" w:color="B4C6E7"/>
            </w:tcBorders>
          </w:tcPr>
          <w:p w14:paraId="48644AA4" w14:textId="77777777" w:rsidR="000A5B37" w:rsidRDefault="00000000">
            <w:pPr>
              <w:spacing w:after="0" w:line="259" w:lineRule="auto"/>
              <w:ind w:left="0" w:right="0" w:firstLine="0"/>
              <w:jc w:val="left"/>
            </w:pPr>
            <w:r>
              <w:rPr>
                <w:sz w:val="20"/>
              </w:rPr>
              <w:t xml:space="preserve">Central memory T-cellen </w:t>
            </w:r>
          </w:p>
        </w:tc>
        <w:tc>
          <w:tcPr>
            <w:tcW w:w="3825" w:type="dxa"/>
            <w:tcBorders>
              <w:top w:val="single" w:sz="4" w:space="0" w:color="B4C6E7"/>
              <w:left w:val="single" w:sz="4" w:space="0" w:color="B4C6E7"/>
              <w:bottom w:val="single" w:sz="4" w:space="0" w:color="B4C6E7"/>
              <w:right w:val="single" w:sz="4" w:space="0" w:color="B4C6E7"/>
            </w:tcBorders>
          </w:tcPr>
          <w:p w14:paraId="4A906452"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w:t>
            </w:r>
            <w:r>
              <w:rPr>
                <w:sz w:val="20"/>
              </w:rPr>
              <w:t xml:space="preserve"> i.c.m. CCR7</w:t>
            </w:r>
            <w:r>
              <w:rPr>
                <w:sz w:val="20"/>
                <w:vertAlign w:val="superscript"/>
              </w:rPr>
              <w:t xml:space="preserve">+ </w:t>
            </w:r>
            <w:r>
              <w:rPr>
                <w:sz w:val="20"/>
              </w:rPr>
              <w:t>of CD27</w:t>
            </w:r>
            <w:r>
              <w:rPr>
                <w:sz w:val="20"/>
                <w:vertAlign w:val="superscript"/>
              </w:rPr>
              <w:t>+</w:t>
            </w:r>
            <w:r>
              <w:rPr>
                <w:sz w:val="20"/>
              </w:rPr>
              <w:t xml:space="preserve"> </w:t>
            </w:r>
          </w:p>
        </w:tc>
      </w:tr>
      <w:tr w:rsidR="000A5B37" w14:paraId="7443EA13" w14:textId="77777777">
        <w:trPr>
          <w:trHeight w:val="317"/>
        </w:trPr>
        <w:tc>
          <w:tcPr>
            <w:tcW w:w="3824" w:type="dxa"/>
            <w:tcBorders>
              <w:top w:val="single" w:sz="4" w:space="0" w:color="B4C6E7"/>
              <w:left w:val="single" w:sz="4" w:space="0" w:color="B4C6E7"/>
              <w:bottom w:val="single" w:sz="4" w:space="0" w:color="B4C6E7"/>
              <w:right w:val="single" w:sz="4" w:space="0" w:color="B4C6E7"/>
            </w:tcBorders>
          </w:tcPr>
          <w:p w14:paraId="72574E61" w14:textId="77777777" w:rsidR="000A5B37" w:rsidRDefault="00000000">
            <w:pPr>
              <w:spacing w:after="0" w:line="259" w:lineRule="auto"/>
              <w:ind w:left="0" w:right="0" w:firstLine="0"/>
              <w:jc w:val="left"/>
            </w:pPr>
            <w:r>
              <w:rPr>
                <w:sz w:val="20"/>
              </w:rPr>
              <w:t xml:space="preserve">Effector memory T-cellen </w:t>
            </w:r>
          </w:p>
        </w:tc>
        <w:tc>
          <w:tcPr>
            <w:tcW w:w="3825" w:type="dxa"/>
            <w:tcBorders>
              <w:top w:val="single" w:sz="4" w:space="0" w:color="B4C6E7"/>
              <w:left w:val="single" w:sz="4" w:space="0" w:color="B4C6E7"/>
              <w:bottom w:val="single" w:sz="4" w:space="0" w:color="B4C6E7"/>
              <w:right w:val="single" w:sz="4" w:space="0" w:color="B4C6E7"/>
            </w:tcBorders>
          </w:tcPr>
          <w:p w14:paraId="1A66C944"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 xml:space="preserve">- </w:t>
            </w:r>
            <w:r>
              <w:rPr>
                <w:sz w:val="20"/>
              </w:rPr>
              <w:t>i.c.m. CCR7</w:t>
            </w:r>
            <w:r>
              <w:rPr>
                <w:sz w:val="20"/>
                <w:vertAlign w:val="superscript"/>
              </w:rPr>
              <w:t xml:space="preserve">- </w:t>
            </w:r>
            <w:r>
              <w:rPr>
                <w:sz w:val="20"/>
              </w:rPr>
              <w:t>of CD27</w:t>
            </w:r>
            <w:r>
              <w:rPr>
                <w:sz w:val="20"/>
                <w:vertAlign w:val="superscript"/>
              </w:rPr>
              <w:t>-</w:t>
            </w:r>
            <w:r>
              <w:rPr>
                <w:sz w:val="20"/>
              </w:rPr>
              <w:t xml:space="preserve"> </w:t>
            </w:r>
          </w:p>
        </w:tc>
      </w:tr>
      <w:tr w:rsidR="000A5B37" w14:paraId="2A303BC0"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6C77D9D4" w14:textId="77777777" w:rsidR="000A5B37" w:rsidRDefault="00000000">
            <w:pPr>
              <w:spacing w:after="0" w:line="259" w:lineRule="auto"/>
              <w:ind w:left="0" w:right="0" w:firstLine="0"/>
              <w:jc w:val="left"/>
            </w:pPr>
            <w:r>
              <w:rPr>
                <w:sz w:val="20"/>
              </w:rPr>
              <w:t>Ver-gedifferentieerde</w:t>
            </w:r>
            <w:r>
              <w:rPr>
                <w:b/>
              </w:rPr>
              <w:t xml:space="preserve"> </w:t>
            </w:r>
            <w:r>
              <w:rPr>
                <w:sz w:val="20"/>
              </w:rPr>
              <w:t xml:space="preserve">T-cellen </w:t>
            </w:r>
          </w:p>
        </w:tc>
        <w:tc>
          <w:tcPr>
            <w:tcW w:w="3825" w:type="dxa"/>
            <w:tcBorders>
              <w:top w:val="single" w:sz="4" w:space="0" w:color="B4C6E7"/>
              <w:left w:val="single" w:sz="4" w:space="0" w:color="B4C6E7"/>
              <w:bottom w:val="single" w:sz="4" w:space="0" w:color="B4C6E7"/>
              <w:right w:val="single" w:sz="4" w:space="0" w:color="B4C6E7"/>
            </w:tcBorders>
          </w:tcPr>
          <w:p w14:paraId="4CEC8ED4" w14:textId="77777777" w:rsidR="000A5B37" w:rsidRDefault="00000000">
            <w:pPr>
              <w:spacing w:after="0" w:line="259" w:lineRule="auto"/>
              <w:ind w:left="0" w:right="0" w:firstLine="0"/>
              <w:jc w:val="left"/>
            </w:pPr>
            <w:r>
              <w:rPr>
                <w:sz w:val="20"/>
              </w:rPr>
              <w:t>CD45R0</w:t>
            </w:r>
            <w:r>
              <w:rPr>
                <w:sz w:val="20"/>
                <w:vertAlign w:val="superscript"/>
              </w:rPr>
              <w:t xml:space="preserve">- </w:t>
            </w:r>
            <w:r>
              <w:rPr>
                <w:sz w:val="20"/>
              </w:rPr>
              <w:t>of CD45RA</w:t>
            </w:r>
            <w:r>
              <w:rPr>
                <w:sz w:val="20"/>
                <w:vertAlign w:val="superscript"/>
              </w:rPr>
              <w:t>+</w:t>
            </w:r>
            <w:r>
              <w:rPr>
                <w:sz w:val="20"/>
              </w:rPr>
              <w:t xml:space="preserve"> i.c.m. CCR7</w:t>
            </w:r>
            <w:r>
              <w:rPr>
                <w:sz w:val="20"/>
                <w:vertAlign w:val="superscript"/>
              </w:rPr>
              <w:t xml:space="preserve">- </w:t>
            </w:r>
            <w:r>
              <w:rPr>
                <w:sz w:val="20"/>
              </w:rPr>
              <w:t>of CD27</w:t>
            </w:r>
            <w:r>
              <w:rPr>
                <w:sz w:val="20"/>
                <w:vertAlign w:val="superscript"/>
              </w:rPr>
              <w:t>-</w:t>
            </w:r>
            <w:r>
              <w:rPr>
                <w:sz w:val="20"/>
              </w:rPr>
              <w:t xml:space="preserve"> </w:t>
            </w:r>
          </w:p>
        </w:tc>
      </w:tr>
      <w:tr w:rsidR="000A5B37" w14:paraId="56572E88"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1770FB56" w14:textId="77777777" w:rsidR="000A5B37" w:rsidRDefault="00000000">
            <w:pPr>
              <w:spacing w:after="0" w:line="259" w:lineRule="auto"/>
              <w:ind w:left="0" w:right="0" w:firstLine="0"/>
              <w:jc w:val="left"/>
            </w:pPr>
            <w:r>
              <w:rPr>
                <w:sz w:val="20"/>
              </w:rPr>
              <w:t xml:space="preserve">Recente thymus-emigranten (RTE) </w:t>
            </w:r>
          </w:p>
        </w:tc>
        <w:tc>
          <w:tcPr>
            <w:tcW w:w="3825" w:type="dxa"/>
            <w:tcBorders>
              <w:top w:val="single" w:sz="4" w:space="0" w:color="B4C6E7"/>
              <w:left w:val="single" w:sz="4" w:space="0" w:color="B4C6E7"/>
              <w:bottom w:val="single" w:sz="4" w:space="0" w:color="B4C6E7"/>
              <w:right w:val="single" w:sz="4" w:space="0" w:color="B4C6E7"/>
            </w:tcBorders>
          </w:tcPr>
          <w:p w14:paraId="6466C9C3" w14:textId="77777777" w:rsidR="000A5B37" w:rsidRDefault="00000000">
            <w:pPr>
              <w:spacing w:after="0" w:line="259" w:lineRule="auto"/>
              <w:ind w:left="0" w:right="0" w:firstLine="0"/>
              <w:jc w:val="left"/>
            </w:pPr>
            <w:r>
              <w:rPr>
                <w:sz w:val="20"/>
              </w:rPr>
              <w:t>CD45RA</w:t>
            </w:r>
            <w:r>
              <w:rPr>
                <w:sz w:val="20"/>
                <w:vertAlign w:val="superscript"/>
              </w:rPr>
              <w:t xml:space="preserve">+ </w:t>
            </w:r>
            <w:r>
              <w:rPr>
                <w:sz w:val="20"/>
              </w:rPr>
              <w:t>CD31</w:t>
            </w:r>
            <w:r>
              <w:rPr>
                <w:sz w:val="20"/>
                <w:vertAlign w:val="superscript"/>
              </w:rPr>
              <w:t>+</w:t>
            </w:r>
            <w:r>
              <w:rPr>
                <w:sz w:val="20"/>
              </w:rPr>
              <w:t xml:space="preserve"> </w:t>
            </w:r>
          </w:p>
        </w:tc>
      </w:tr>
      <w:tr w:rsidR="000A5B37" w14:paraId="2AB62FD8" w14:textId="77777777">
        <w:trPr>
          <w:trHeight w:val="314"/>
        </w:trPr>
        <w:tc>
          <w:tcPr>
            <w:tcW w:w="3824" w:type="dxa"/>
            <w:vMerge w:val="restart"/>
            <w:tcBorders>
              <w:top w:val="single" w:sz="4" w:space="0" w:color="B4C6E7"/>
              <w:left w:val="single" w:sz="4" w:space="0" w:color="B4C6E7"/>
              <w:bottom w:val="single" w:sz="4" w:space="0" w:color="B4C6E7"/>
              <w:right w:val="single" w:sz="4" w:space="0" w:color="B4C6E7"/>
            </w:tcBorders>
          </w:tcPr>
          <w:p w14:paraId="69A0F870" w14:textId="77777777" w:rsidR="000A5B37" w:rsidRDefault="00000000">
            <w:pPr>
              <w:spacing w:after="0" w:line="259" w:lineRule="auto"/>
              <w:ind w:left="0" w:right="0" w:firstLine="0"/>
              <w:jc w:val="left"/>
            </w:pPr>
            <w:r>
              <w:rPr>
                <w:sz w:val="20"/>
              </w:rPr>
              <w:t xml:space="preserve">Geactiveerde T-cellen </w:t>
            </w:r>
          </w:p>
        </w:tc>
        <w:tc>
          <w:tcPr>
            <w:tcW w:w="3825" w:type="dxa"/>
            <w:tcBorders>
              <w:top w:val="single" w:sz="4" w:space="0" w:color="B4C6E7"/>
              <w:left w:val="single" w:sz="4" w:space="0" w:color="B4C6E7"/>
              <w:bottom w:val="single" w:sz="4" w:space="0" w:color="B4C6E7"/>
              <w:right w:val="single" w:sz="4" w:space="0" w:color="B4C6E7"/>
            </w:tcBorders>
          </w:tcPr>
          <w:p w14:paraId="5F67C324" w14:textId="77777777" w:rsidR="000A5B37" w:rsidRDefault="00000000">
            <w:pPr>
              <w:spacing w:after="0" w:line="259" w:lineRule="auto"/>
              <w:ind w:left="0" w:right="0" w:firstLine="0"/>
              <w:jc w:val="left"/>
            </w:pPr>
            <w:r>
              <w:rPr>
                <w:sz w:val="20"/>
              </w:rPr>
              <w:t>HLA-DR</w:t>
            </w:r>
            <w:r>
              <w:rPr>
                <w:sz w:val="20"/>
                <w:vertAlign w:val="superscript"/>
              </w:rPr>
              <w:t>+</w:t>
            </w:r>
            <w:r>
              <w:rPr>
                <w:sz w:val="20"/>
              </w:rPr>
              <w:t xml:space="preserve">  </w:t>
            </w:r>
          </w:p>
        </w:tc>
      </w:tr>
      <w:tr w:rsidR="000A5B37" w14:paraId="76B0A758" w14:textId="77777777">
        <w:trPr>
          <w:trHeight w:val="317"/>
        </w:trPr>
        <w:tc>
          <w:tcPr>
            <w:tcW w:w="0" w:type="auto"/>
            <w:vMerge/>
            <w:tcBorders>
              <w:top w:val="nil"/>
              <w:left w:val="single" w:sz="4" w:space="0" w:color="B4C6E7"/>
              <w:bottom w:val="single" w:sz="4" w:space="0" w:color="B4C6E7"/>
              <w:right w:val="single" w:sz="4" w:space="0" w:color="B4C6E7"/>
            </w:tcBorders>
          </w:tcPr>
          <w:p w14:paraId="2A563D4C" w14:textId="77777777" w:rsidR="000A5B37" w:rsidRDefault="000A5B37">
            <w:pPr>
              <w:spacing w:after="160" w:line="259" w:lineRule="auto"/>
              <w:ind w:left="0" w:right="0" w:firstLine="0"/>
              <w:jc w:val="left"/>
            </w:pPr>
          </w:p>
        </w:tc>
        <w:tc>
          <w:tcPr>
            <w:tcW w:w="3825" w:type="dxa"/>
            <w:tcBorders>
              <w:top w:val="single" w:sz="4" w:space="0" w:color="B4C6E7"/>
              <w:left w:val="single" w:sz="4" w:space="0" w:color="B4C6E7"/>
              <w:bottom w:val="single" w:sz="4" w:space="0" w:color="B4C6E7"/>
              <w:right w:val="single" w:sz="4" w:space="0" w:color="B4C6E7"/>
            </w:tcBorders>
          </w:tcPr>
          <w:p w14:paraId="497A5F8E" w14:textId="77777777" w:rsidR="000A5B37" w:rsidRDefault="00000000">
            <w:pPr>
              <w:spacing w:after="0" w:line="259" w:lineRule="auto"/>
              <w:ind w:left="0" w:right="0" w:firstLine="0"/>
              <w:jc w:val="left"/>
            </w:pPr>
            <w:r>
              <w:rPr>
                <w:sz w:val="20"/>
              </w:rPr>
              <w:t>HLA-DR</w:t>
            </w:r>
            <w:r>
              <w:rPr>
                <w:sz w:val="20"/>
                <w:vertAlign w:val="superscript"/>
              </w:rPr>
              <w:t>+</w:t>
            </w:r>
            <w:r>
              <w:rPr>
                <w:sz w:val="20"/>
              </w:rPr>
              <w:t>/CD38</w:t>
            </w:r>
            <w:r>
              <w:rPr>
                <w:sz w:val="20"/>
                <w:vertAlign w:val="superscript"/>
              </w:rPr>
              <w:t>+</w:t>
            </w:r>
            <w:r>
              <w:rPr>
                <w:sz w:val="20"/>
              </w:rPr>
              <w:t xml:space="preserve"> </w:t>
            </w:r>
          </w:p>
        </w:tc>
      </w:tr>
      <w:tr w:rsidR="000A5B37" w14:paraId="4A8FB195" w14:textId="77777777">
        <w:trPr>
          <w:trHeight w:val="314"/>
        </w:trPr>
        <w:tc>
          <w:tcPr>
            <w:tcW w:w="3824" w:type="dxa"/>
            <w:vMerge w:val="restart"/>
            <w:tcBorders>
              <w:top w:val="single" w:sz="4" w:space="0" w:color="B4C6E7"/>
              <w:left w:val="single" w:sz="4" w:space="0" w:color="B4C6E7"/>
              <w:bottom w:val="single" w:sz="4" w:space="0" w:color="B4C6E7"/>
              <w:right w:val="single" w:sz="4" w:space="0" w:color="B4C6E7"/>
            </w:tcBorders>
          </w:tcPr>
          <w:p w14:paraId="7210D639" w14:textId="77777777" w:rsidR="000A5B37" w:rsidRDefault="00000000">
            <w:pPr>
              <w:spacing w:after="0" w:line="259" w:lineRule="auto"/>
              <w:ind w:left="0" w:right="0" w:firstLine="0"/>
              <w:jc w:val="left"/>
            </w:pPr>
            <w:r>
              <w:rPr>
                <w:sz w:val="20"/>
              </w:rPr>
              <w:t>Regulatoire T-cellen</w:t>
            </w:r>
            <w:r>
              <w:rPr>
                <w:color w:val="ED7D31"/>
                <w:sz w:val="20"/>
              </w:rPr>
              <w:t xml:space="preserve"> </w:t>
            </w:r>
          </w:p>
        </w:tc>
        <w:tc>
          <w:tcPr>
            <w:tcW w:w="3825" w:type="dxa"/>
            <w:tcBorders>
              <w:top w:val="single" w:sz="4" w:space="0" w:color="B4C6E7"/>
              <w:left w:val="single" w:sz="4" w:space="0" w:color="B4C6E7"/>
              <w:bottom w:val="single" w:sz="4" w:space="0" w:color="B4C6E7"/>
              <w:right w:val="single" w:sz="4" w:space="0" w:color="B4C6E7"/>
            </w:tcBorders>
          </w:tcPr>
          <w:p w14:paraId="0AF74145" w14:textId="77777777" w:rsidR="000A5B37" w:rsidRDefault="00000000">
            <w:pPr>
              <w:spacing w:after="0" w:line="259" w:lineRule="auto"/>
              <w:ind w:left="0" w:right="0" w:firstLine="0"/>
              <w:jc w:val="left"/>
            </w:pPr>
            <w:r>
              <w:rPr>
                <w:sz w:val="20"/>
              </w:rPr>
              <w:t>CD25</w:t>
            </w:r>
            <w:r>
              <w:rPr>
                <w:sz w:val="20"/>
                <w:vertAlign w:val="superscript"/>
              </w:rPr>
              <w:t xml:space="preserve">hi </w:t>
            </w:r>
            <w:r>
              <w:rPr>
                <w:sz w:val="20"/>
              </w:rPr>
              <w:t>CD127</w:t>
            </w:r>
            <w:r>
              <w:rPr>
                <w:sz w:val="20"/>
                <w:vertAlign w:val="superscript"/>
              </w:rPr>
              <w:t>-</w:t>
            </w:r>
            <w:r>
              <w:rPr>
                <w:sz w:val="20"/>
              </w:rPr>
              <w:t xml:space="preserve"> </w:t>
            </w:r>
          </w:p>
        </w:tc>
      </w:tr>
      <w:tr w:rsidR="000A5B37" w14:paraId="5B63147C" w14:textId="77777777">
        <w:trPr>
          <w:trHeight w:val="314"/>
        </w:trPr>
        <w:tc>
          <w:tcPr>
            <w:tcW w:w="0" w:type="auto"/>
            <w:vMerge/>
            <w:tcBorders>
              <w:top w:val="nil"/>
              <w:left w:val="single" w:sz="4" w:space="0" w:color="B4C6E7"/>
              <w:bottom w:val="single" w:sz="4" w:space="0" w:color="B4C6E7"/>
              <w:right w:val="single" w:sz="4" w:space="0" w:color="B4C6E7"/>
            </w:tcBorders>
          </w:tcPr>
          <w:p w14:paraId="059C7FD8" w14:textId="77777777" w:rsidR="000A5B37" w:rsidRDefault="000A5B37">
            <w:pPr>
              <w:spacing w:after="160" w:line="259" w:lineRule="auto"/>
              <w:ind w:left="0" w:right="0" w:firstLine="0"/>
              <w:jc w:val="left"/>
            </w:pPr>
          </w:p>
        </w:tc>
        <w:tc>
          <w:tcPr>
            <w:tcW w:w="3825" w:type="dxa"/>
            <w:tcBorders>
              <w:top w:val="single" w:sz="4" w:space="0" w:color="B4C6E7"/>
              <w:left w:val="single" w:sz="4" w:space="0" w:color="B4C6E7"/>
              <w:bottom w:val="single" w:sz="4" w:space="0" w:color="B4C6E7"/>
              <w:right w:val="single" w:sz="4" w:space="0" w:color="B4C6E7"/>
            </w:tcBorders>
          </w:tcPr>
          <w:p w14:paraId="5FE1255C" w14:textId="77777777" w:rsidR="000A5B37" w:rsidRDefault="00000000">
            <w:pPr>
              <w:spacing w:after="0" w:line="259" w:lineRule="auto"/>
              <w:ind w:left="0" w:right="0" w:firstLine="0"/>
              <w:jc w:val="left"/>
            </w:pPr>
            <w:r>
              <w:rPr>
                <w:sz w:val="20"/>
              </w:rPr>
              <w:t>CD25</w:t>
            </w:r>
            <w:r>
              <w:rPr>
                <w:sz w:val="20"/>
                <w:vertAlign w:val="superscript"/>
              </w:rPr>
              <w:t>+</w:t>
            </w:r>
            <w:r>
              <w:rPr>
                <w:sz w:val="20"/>
              </w:rPr>
              <w:t xml:space="preserve"> Foxp3</w:t>
            </w:r>
            <w:r>
              <w:rPr>
                <w:sz w:val="20"/>
                <w:vertAlign w:val="superscript"/>
              </w:rPr>
              <w:t>+</w:t>
            </w:r>
            <w:r>
              <w:rPr>
                <w:sz w:val="20"/>
              </w:rPr>
              <w:t xml:space="preserve"> (IPEX vraagstelling) </w:t>
            </w:r>
          </w:p>
        </w:tc>
      </w:tr>
      <w:tr w:rsidR="000A5B37" w14:paraId="680EE984"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0315BFA1" w14:textId="77777777" w:rsidR="000A5B37" w:rsidRDefault="00000000">
            <w:pPr>
              <w:spacing w:after="0" w:line="259" w:lineRule="auto"/>
              <w:ind w:left="0" w:right="0" w:firstLine="0"/>
              <w:jc w:val="left"/>
            </w:pPr>
            <w:r>
              <w:rPr>
                <w:b/>
                <w:sz w:val="20"/>
              </w:rPr>
              <w:t>Binnen CD8</w:t>
            </w:r>
            <w:r>
              <w:rPr>
                <w:b/>
                <w:sz w:val="20"/>
                <w:vertAlign w:val="superscript"/>
              </w:rPr>
              <w:t>+</w:t>
            </w:r>
            <w:r>
              <w:rPr>
                <w:b/>
                <w:sz w:val="20"/>
              </w:rPr>
              <w:t xml:space="preserve"> T-cellen </w:t>
            </w:r>
          </w:p>
        </w:tc>
        <w:tc>
          <w:tcPr>
            <w:tcW w:w="3825" w:type="dxa"/>
            <w:tcBorders>
              <w:top w:val="single" w:sz="4" w:space="0" w:color="B4C6E7"/>
              <w:left w:val="single" w:sz="4" w:space="0" w:color="B4C6E7"/>
              <w:bottom w:val="single" w:sz="4" w:space="0" w:color="B4C6E7"/>
              <w:right w:val="single" w:sz="4" w:space="0" w:color="B4C6E7"/>
            </w:tcBorders>
          </w:tcPr>
          <w:p w14:paraId="74652A26" w14:textId="77777777" w:rsidR="000A5B37" w:rsidRDefault="00000000">
            <w:pPr>
              <w:spacing w:after="0" w:line="259" w:lineRule="auto"/>
              <w:ind w:left="0" w:right="0" w:firstLine="0"/>
              <w:jc w:val="left"/>
            </w:pPr>
            <w:r>
              <w:rPr>
                <w:sz w:val="24"/>
              </w:rPr>
              <w:t xml:space="preserve"> </w:t>
            </w:r>
          </w:p>
        </w:tc>
      </w:tr>
      <w:tr w:rsidR="000A5B37" w14:paraId="3374AFB0" w14:textId="77777777">
        <w:trPr>
          <w:trHeight w:val="317"/>
        </w:trPr>
        <w:tc>
          <w:tcPr>
            <w:tcW w:w="3824" w:type="dxa"/>
            <w:tcBorders>
              <w:top w:val="single" w:sz="4" w:space="0" w:color="B4C6E7"/>
              <w:left w:val="single" w:sz="4" w:space="0" w:color="B4C6E7"/>
              <w:bottom w:val="single" w:sz="4" w:space="0" w:color="B4C6E7"/>
              <w:right w:val="single" w:sz="4" w:space="0" w:color="B4C6E7"/>
            </w:tcBorders>
          </w:tcPr>
          <w:p w14:paraId="1F216B82" w14:textId="77777777" w:rsidR="000A5B37" w:rsidRDefault="00000000">
            <w:pPr>
              <w:spacing w:after="0" w:line="259" w:lineRule="auto"/>
              <w:ind w:left="0" w:right="0" w:firstLine="0"/>
              <w:jc w:val="left"/>
            </w:pPr>
            <w:r>
              <w:rPr>
                <w:sz w:val="20"/>
              </w:rPr>
              <w:t xml:space="preserve">Central memory T-cellen </w:t>
            </w:r>
          </w:p>
        </w:tc>
        <w:tc>
          <w:tcPr>
            <w:tcW w:w="3825" w:type="dxa"/>
            <w:tcBorders>
              <w:top w:val="single" w:sz="4" w:space="0" w:color="B4C6E7"/>
              <w:left w:val="single" w:sz="4" w:space="0" w:color="B4C6E7"/>
              <w:bottom w:val="single" w:sz="4" w:space="0" w:color="B4C6E7"/>
              <w:right w:val="single" w:sz="4" w:space="0" w:color="B4C6E7"/>
            </w:tcBorders>
          </w:tcPr>
          <w:p w14:paraId="60262C0C"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 xml:space="preserve">- </w:t>
            </w:r>
            <w:r>
              <w:rPr>
                <w:sz w:val="20"/>
              </w:rPr>
              <w:t>/ CCR7</w:t>
            </w:r>
            <w:r>
              <w:rPr>
                <w:sz w:val="20"/>
                <w:vertAlign w:val="superscript"/>
              </w:rPr>
              <w:t>+</w:t>
            </w:r>
            <w:r>
              <w:rPr>
                <w:sz w:val="20"/>
              </w:rPr>
              <w:t xml:space="preserve">  </w:t>
            </w:r>
          </w:p>
        </w:tc>
      </w:tr>
      <w:tr w:rsidR="000A5B37" w14:paraId="5BDDA318"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1E84B8EC" w14:textId="77777777" w:rsidR="000A5B37" w:rsidRDefault="00000000">
            <w:pPr>
              <w:spacing w:after="0" w:line="259" w:lineRule="auto"/>
              <w:ind w:left="0" w:right="0" w:firstLine="0"/>
              <w:jc w:val="left"/>
            </w:pPr>
            <w:r>
              <w:rPr>
                <w:sz w:val="20"/>
              </w:rPr>
              <w:t xml:space="preserve"> </w:t>
            </w:r>
          </w:p>
        </w:tc>
        <w:tc>
          <w:tcPr>
            <w:tcW w:w="3825" w:type="dxa"/>
            <w:tcBorders>
              <w:top w:val="single" w:sz="4" w:space="0" w:color="B4C6E7"/>
              <w:left w:val="single" w:sz="4" w:space="0" w:color="B4C6E7"/>
              <w:bottom w:val="single" w:sz="4" w:space="0" w:color="B4C6E7"/>
              <w:right w:val="single" w:sz="4" w:space="0" w:color="B4C6E7"/>
            </w:tcBorders>
          </w:tcPr>
          <w:p w14:paraId="64B7023C" w14:textId="77777777" w:rsidR="000A5B37" w:rsidRDefault="00000000">
            <w:pPr>
              <w:spacing w:after="0" w:line="259" w:lineRule="auto"/>
              <w:ind w:left="0" w:right="0" w:firstLine="0"/>
              <w:jc w:val="left"/>
            </w:pPr>
            <w:r>
              <w:rPr>
                <w:sz w:val="20"/>
              </w:rPr>
              <w:t>CD45RA</w:t>
            </w:r>
            <w:r>
              <w:rPr>
                <w:sz w:val="20"/>
                <w:vertAlign w:val="superscript"/>
              </w:rPr>
              <w:t xml:space="preserve">- </w:t>
            </w:r>
            <w:r>
              <w:rPr>
                <w:sz w:val="20"/>
              </w:rPr>
              <w:t>/ CD27</w:t>
            </w:r>
            <w:r>
              <w:rPr>
                <w:sz w:val="20"/>
                <w:vertAlign w:val="superscript"/>
              </w:rPr>
              <w:t>+</w:t>
            </w:r>
            <w:r>
              <w:rPr>
                <w:sz w:val="20"/>
              </w:rPr>
              <w:t xml:space="preserve"> </w:t>
            </w:r>
          </w:p>
        </w:tc>
      </w:tr>
      <w:tr w:rsidR="000A5B37" w14:paraId="69166B07"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60C6ADC1" w14:textId="77777777" w:rsidR="000A5B37" w:rsidRDefault="00000000">
            <w:pPr>
              <w:spacing w:after="0" w:line="259" w:lineRule="auto"/>
              <w:ind w:left="0" w:right="0" w:firstLine="0"/>
              <w:jc w:val="left"/>
            </w:pPr>
            <w:r>
              <w:rPr>
                <w:sz w:val="20"/>
              </w:rPr>
              <w:t xml:space="preserve">Effector memory T-cellen </w:t>
            </w:r>
          </w:p>
        </w:tc>
        <w:tc>
          <w:tcPr>
            <w:tcW w:w="3825" w:type="dxa"/>
            <w:tcBorders>
              <w:top w:val="single" w:sz="4" w:space="0" w:color="B4C6E7"/>
              <w:left w:val="single" w:sz="4" w:space="0" w:color="B4C6E7"/>
              <w:bottom w:val="single" w:sz="4" w:space="0" w:color="B4C6E7"/>
              <w:right w:val="single" w:sz="4" w:space="0" w:color="B4C6E7"/>
            </w:tcBorders>
          </w:tcPr>
          <w:p w14:paraId="41049D61"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 xml:space="preserve">- </w:t>
            </w:r>
            <w:r>
              <w:rPr>
                <w:sz w:val="20"/>
              </w:rPr>
              <w:t>/ CCR7</w:t>
            </w:r>
            <w:r>
              <w:rPr>
                <w:sz w:val="20"/>
                <w:vertAlign w:val="superscript"/>
              </w:rPr>
              <w:t xml:space="preserve">- </w:t>
            </w:r>
            <w:r>
              <w:rPr>
                <w:sz w:val="20"/>
              </w:rPr>
              <w:t xml:space="preserve"> </w:t>
            </w:r>
          </w:p>
        </w:tc>
      </w:tr>
      <w:tr w:rsidR="000A5B37" w14:paraId="3E5C9527" w14:textId="77777777">
        <w:trPr>
          <w:trHeight w:val="315"/>
        </w:trPr>
        <w:tc>
          <w:tcPr>
            <w:tcW w:w="3824" w:type="dxa"/>
            <w:vMerge w:val="restart"/>
            <w:tcBorders>
              <w:top w:val="single" w:sz="4" w:space="0" w:color="B4C6E7"/>
              <w:left w:val="single" w:sz="4" w:space="0" w:color="B4C6E7"/>
              <w:bottom w:val="single" w:sz="4" w:space="0" w:color="B4C6E7"/>
              <w:right w:val="single" w:sz="4" w:space="0" w:color="B4C6E7"/>
            </w:tcBorders>
          </w:tcPr>
          <w:p w14:paraId="1C14CEC0" w14:textId="77777777" w:rsidR="000A5B37" w:rsidRDefault="00000000">
            <w:pPr>
              <w:spacing w:after="0" w:line="259" w:lineRule="auto"/>
              <w:ind w:left="0" w:right="0" w:firstLine="0"/>
              <w:jc w:val="left"/>
            </w:pPr>
            <w:r>
              <w:rPr>
                <w:sz w:val="20"/>
              </w:rPr>
              <w:t>Ver-gedifferentieerde</w:t>
            </w:r>
            <w:r>
              <w:rPr>
                <w:b/>
              </w:rPr>
              <w:t xml:space="preserve"> </w:t>
            </w:r>
            <w:r>
              <w:rPr>
                <w:sz w:val="20"/>
              </w:rPr>
              <w:t xml:space="preserve">T-cellen </w:t>
            </w:r>
          </w:p>
        </w:tc>
        <w:tc>
          <w:tcPr>
            <w:tcW w:w="3825" w:type="dxa"/>
            <w:tcBorders>
              <w:top w:val="single" w:sz="4" w:space="0" w:color="B4C6E7"/>
              <w:left w:val="single" w:sz="4" w:space="0" w:color="B4C6E7"/>
              <w:bottom w:val="single" w:sz="4" w:space="0" w:color="B4C6E7"/>
              <w:right w:val="single" w:sz="4" w:space="0" w:color="B4C6E7"/>
            </w:tcBorders>
          </w:tcPr>
          <w:p w14:paraId="654C621B" w14:textId="77777777" w:rsidR="000A5B37" w:rsidRDefault="00000000">
            <w:pPr>
              <w:spacing w:after="0" w:line="259" w:lineRule="auto"/>
              <w:ind w:left="0" w:right="0" w:firstLine="0"/>
              <w:jc w:val="left"/>
            </w:pPr>
            <w:r>
              <w:rPr>
                <w:sz w:val="20"/>
              </w:rPr>
              <w:t>CD45R0</w:t>
            </w:r>
            <w:r>
              <w:rPr>
                <w:sz w:val="20"/>
                <w:vertAlign w:val="superscript"/>
              </w:rPr>
              <w:t>-</w:t>
            </w:r>
            <w:r>
              <w:rPr>
                <w:sz w:val="20"/>
              </w:rPr>
              <w:t xml:space="preserve"> of CD45RA</w:t>
            </w:r>
            <w:r>
              <w:rPr>
                <w:sz w:val="20"/>
                <w:vertAlign w:val="superscript"/>
              </w:rPr>
              <w:t xml:space="preserve">+ </w:t>
            </w:r>
            <w:r>
              <w:rPr>
                <w:sz w:val="20"/>
              </w:rPr>
              <w:t>/ CCR7</w:t>
            </w:r>
            <w:r>
              <w:rPr>
                <w:sz w:val="20"/>
                <w:vertAlign w:val="superscript"/>
              </w:rPr>
              <w:t xml:space="preserve">- </w:t>
            </w:r>
            <w:r>
              <w:rPr>
                <w:sz w:val="20"/>
              </w:rPr>
              <w:t xml:space="preserve"> </w:t>
            </w:r>
          </w:p>
        </w:tc>
      </w:tr>
      <w:tr w:rsidR="000A5B37" w14:paraId="0215540B" w14:textId="77777777">
        <w:trPr>
          <w:trHeight w:val="317"/>
        </w:trPr>
        <w:tc>
          <w:tcPr>
            <w:tcW w:w="0" w:type="auto"/>
            <w:vMerge/>
            <w:tcBorders>
              <w:top w:val="nil"/>
              <w:left w:val="single" w:sz="4" w:space="0" w:color="B4C6E7"/>
              <w:bottom w:val="single" w:sz="4" w:space="0" w:color="B4C6E7"/>
              <w:right w:val="single" w:sz="4" w:space="0" w:color="B4C6E7"/>
            </w:tcBorders>
          </w:tcPr>
          <w:p w14:paraId="00D2CFDD" w14:textId="77777777" w:rsidR="000A5B37" w:rsidRDefault="000A5B37">
            <w:pPr>
              <w:spacing w:after="160" w:line="259" w:lineRule="auto"/>
              <w:ind w:left="0" w:right="0" w:firstLine="0"/>
              <w:jc w:val="left"/>
            </w:pPr>
          </w:p>
        </w:tc>
        <w:tc>
          <w:tcPr>
            <w:tcW w:w="3825" w:type="dxa"/>
            <w:tcBorders>
              <w:top w:val="single" w:sz="4" w:space="0" w:color="B4C6E7"/>
              <w:left w:val="single" w:sz="4" w:space="0" w:color="B4C6E7"/>
              <w:bottom w:val="single" w:sz="4" w:space="0" w:color="B4C6E7"/>
              <w:right w:val="single" w:sz="4" w:space="0" w:color="B4C6E7"/>
            </w:tcBorders>
          </w:tcPr>
          <w:p w14:paraId="327D0AD5" w14:textId="77777777" w:rsidR="000A5B37" w:rsidRDefault="00000000">
            <w:pPr>
              <w:spacing w:after="0" w:line="259" w:lineRule="auto"/>
              <w:ind w:left="0" w:right="0" w:firstLine="0"/>
              <w:jc w:val="left"/>
            </w:pPr>
            <w:r>
              <w:rPr>
                <w:sz w:val="20"/>
              </w:rPr>
              <w:t>CD45RA</w:t>
            </w:r>
            <w:r>
              <w:rPr>
                <w:sz w:val="20"/>
                <w:vertAlign w:val="superscript"/>
              </w:rPr>
              <w:t xml:space="preserve">+ </w:t>
            </w:r>
            <w:r>
              <w:rPr>
                <w:sz w:val="20"/>
              </w:rPr>
              <w:t>/ CD27</w:t>
            </w:r>
            <w:r>
              <w:rPr>
                <w:sz w:val="20"/>
                <w:vertAlign w:val="superscript"/>
              </w:rPr>
              <w:t>-</w:t>
            </w:r>
            <w:r>
              <w:rPr>
                <w:sz w:val="20"/>
              </w:rPr>
              <w:t xml:space="preserve"> </w:t>
            </w:r>
          </w:p>
        </w:tc>
      </w:tr>
      <w:tr w:rsidR="000A5B37" w14:paraId="1F4C6100" w14:textId="77777777">
        <w:trPr>
          <w:trHeight w:val="314"/>
        </w:trPr>
        <w:tc>
          <w:tcPr>
            <w:tcW w:w="3824" w:type="dxa"/>
            <w:tcBorders>
              <w:top w:val="single" w:sz="4" w:space="0" w:color="B4C6E7"/>
              <w:left w:val="single" w:sz="4" w:space="0" w:color="B4C6E7"/>
              <w:bottom w:val="single" w:sz="4" w:space="0" w:color="B4C6E7"/>
              <w:right w:val="single" w:sz="4" w:space="0" w:color="B4C6E7"/>
            </w:tcBorders>
          </w:tcPr>
          <w:p w14:paraId="0745CDA1" w14:textId="77777777" w:rsidR="000A5B37" w:rsidRDefault="00000000">
            <w:pPr>
              <w:spacing w:after="0" w:line="259" w:lineRule="auto"/>
              <w:ind w:left="0" w:right="0" w:firstLine="0"/>
              <w:jc w:val="left"/>
            </w:pPr>
            <w:r>
              <w:rPr>
                <w:sz w:val="20"/>
              </w:rPr>
              <w:t xml:space="preserve">Geactiveerde T-cellen </w:t>
            </w:r>
          </w:p>
        </w:tc>
        <w:tc>
          <w:tcPr>
            <w:tcW w:w="3825" w:type="dxa"/>
            <w:tcBorders>
              <w:top w:val="single" w:sz="4" w:space="0" w:color="B4C6E7"/>
              <w:left w:val="single" w:sz="4" w:space="0" w:color="B4C6E7"/>
              <w:bottom w:val="single" w:sz="4" w:space="0" w:color="B4C6E7"/>
              <w:right w:val="single" w:sz="4" w:space="0" w:color="B4C6E7"/>
            </w:tcBorders>
          </w:tcPr>
          <w:p w14:paraId="1BEE47FC" w14:textId="77777777" w:rsidR="000A5B37" w:rsidRDefault="00000000">
            <w:pPr>
              <w:spacing w:after="0" w:line="259" w:lineRule="auto"/>
              <w:ind w:left="0" w:right="0" w:firstLine="0"/>
              <w:jc w:val="left"/>
            </w:pPr>
            <w:r>
              <w:rPr>
                <w:sz w:val="20"/>
              </w:rPr>
              <w:t>HLA-DR</w:t>
            </w:r>
            <w:r>
              <w:rPr>
                <w:sz w:val="20"/>
                <w:vertAlign w:val="superscript"/>
              </w:rPr>
              <w:t>+</w:t>
            </w:r>
            <w:r>
              <w:rPr>
                <w:sz w:val="20"/>
              </w:rPr>
              <w:t xml:space="preserve"> of CD38</w:t>
            </w:r>
            <w:r>
              <w:rPr>
                <w:sz w:val="20"/>
                <w:vertAlign w:val="superscript"/>
              </w:rPr>
              <w:t>+</w:t>
            </w:r>
            <w:r>
              <w:rPr>
                <w:sz w:val="20"/>
              </w:rPr>
              <w:t xml:space="preserve"> </w:t>
            </w:r>
          </w:p>
        </w:tc>
      </w:tr>
    </w:tbl>
    <w:p w14:paraId="5031F066" w14:textId="77777777" w:rsidR="000A5B37" w:rsidRDefault="00000000">
      <w:pPr>
        <w:spacing w:after="0" w:line="259" w:lineRule="auto"/>
        <w:ind w:left="0" w:right="0" w:firstLine="0"/>
        <w:jc w:val="left"/>
      </w:pPr>
      <w:r>
        <w:t xml:space="preserve"> </w:t>
      </w:r>
    </w:p>
    <w:p w14:paraId="26E06A20" w14:textId="77777777" w:rsidR="000A5B37" w:rsidRDefault="00000000">
      <w:pPr>
        <w:ind w:left="-5" w:right="0"/>
      </w:pPr>
      <w:r>
        <w:t xml:space="preserve">4.1. Toelichting gating strategie B-cellen </w:t>
      </w:r>
    </w:p>
    <w:p w14:paraId="0A5404C7" w14:textId="77777777" w:rsidR="000A5B37" w:rsidRDefault="00000000">
      <w:pPr>
        <w:ind w:left="-5" w:right="0"/>
      </w:pPr>
      <w:r>
        <w:t xml:space="preserve">Voor het gaten van de B-cel subsets worden eerst de lymfocyten geselecteerd op basis van een lage SSC-A en CD45 expressie. Voor het gaten van de B-cellen kan gekozen worden voor CD19, CD20, of beide. Indien de B-cellen geselecteerd worden m.b.v. alleen CD20 moet er rekening gehouden worden met het feit dat de plasmablasten niet meegenomen worden, aangezien plasmablasten negatief zijn voor CD20. Bij verdenking op een CD19 deficiëntie is het belangrijk om naast CD19 ook CD20 toe te voegen. Bij patiënten die behandeld worden met rituximab is het juist belangrijk om CD19 mee te nemen, gezien rituximab een monoklonaal antilichaam is gericht tegen CD20. CD38 en CD24 zijn noodzakelijk voor het gaten van de transitionele B-cellen. Membraangebonden IgD en CD27 zijn noodzakelijk voor het onderscheiden van de naïeve mature B-cellen en de memory populaties. Binnen de memory B-cellen wordt membraangebonden IgM gebruikt om de niet-geswitchte memory B-cellen van de isotype-geswitchte memory B-cellen te kunnen onderscheiden.  </w:t>
      </w:r>
    </w:p>
    <w:p w14:paraId="5447EDC7" w14:textId="77777777" w:rsidR="000A5B37" w:rsidRDefault="00000000">
      <w:pPr>
        <w:spacing w:after="0" w:line="259" w:lineRule="auto"/>
        <w:ind w:left="0" w:right="0" w:firstLine="0"/>
        <w:jc w:val="left"/>
      </w:pPr>
      <w:r>
        <w:rPr>
          <w:color w:val="FF0000"/>
        </w:rPr>
        <w:t xml:space="preserve"> </w:t>
      </w:r>
    </w:p>
    <w:p w14:paraId="6679E0EE" w14:textId="77777777" w:rsidR="000A5B37" w:rsidRDefault="00000000">
      <w:pPr>
        <w:ind w:left="-5" w:right="0"/>
      </w:pPr>
      <w:r>
        <w:t>Additioneel kan er gebruik worden gemaakt van CD3 (exclusie) om de B-cellen accurater te kunnen gaten. Voor verdere onderverdeling van de isotype-geswitchte memory B-cellen kan er gebruik worden gemaakt van membraangebonden IgE, IgG en/of IgA. CD21 en CD38 kunnen toegevoegd worden voor het bepalen van de CD38</w:t>
      </w:r>
      <w:r>
        <w:rPr>
          <w:vertAlign w:val="superscript"/>
        </w:rPr>
        <w:t>-</w:t>
      </w:r>
      <w:r>
        <w:t>CD21</w:t>
      </w:r>
      <w:r>
        <w:rPr>
          <w:vertAlign w:val="superscript"/>
        </w:rPr>
        <w:t>low</w:t>
      </w:r>
      <w:r>
        <w:t xml:space="preserve"> B-cellen. Deze zogenaamde CD21</w:t>
      </w:r>
      <w:r>
        <w:rPr>
          <w:vertAlign w:val="superscript"/>
        </w:rPr>
        <w:t>low</w:t>
      </w:r>
      <w:r>
        <w:t xml:space="preserve"> B-cellen, die in gezonde controles slechts een kleine populatie van de B-cellen vertegenwoordigen (</w:t>
      </w:r>
      <w:r>
        <w:rPr>
          <w:rFonts w:cs="Calibri"/>
        </w:rPr>
        <w:t>≤</w:t>
      </w:r>
      <w:r>
        <w:t xml:space="preserve">10%), kunnen (sterk) verhoogd zijn in CVID patiënten en in patiënten met auto-immuunziekten.  </w:t>
      </w:r>
    </w:p>
    <w:p w14:paraId="6CB6EB0B" w14:textId="77777777" w:rsidR="000A5B37" w:rsidRDefault="00000000">
      <w:pPr>
        <w:spacing w:after="0" w:line="259" w:lineRule="auto"/>
        <w:ind w:left="0" w:right="0" w:firstLine="0"/>
        <w:jc w:val="left"/>
      </w:pPr>
      <w:r>
        <w:t xml:space="preserve"> </w:t>
      </w:r>
    </w:p>
    <w:p w14:paraId="4063E401" w14:textId="77777777" w:rsidR="000A5B37" w:rsidRDefault="00000000">
      <w:pPr>
        <w:ind w:left="-5" w:right="0"/>
      </w:pPr>
      <w:r>
        <w:t xml:space="preserve">4.2. Toelichting gating strategie T-cellen </w:t>
      </w:r>
    </w:p>
    <w:p w14:paraId="532EE07D" w14:textId="77777777" w:rsidR="000A5B37" w:rsidRDefault="00000000">
      <w:pPr>
        <w:ind w:left="-5" w:right="0"/>
      </w:pPr>
      <w:r>
        <w:t xml:space="preserve">Voor het gaten van de T-cel subsets worden eerst de lymfocyten geselecteerd op basis van een lage SSC-A en CD45 expressie. De T-cellen worden geselecteerd op basis van de CD3 expressie. Vervolgens </w:t>
      </w:r>
      <w:r>
        <w:lastRenderedPageBreak/>
        <w:t xml:space="preserve">worden de helper en cytotoxische T-cellen afzonderlijk geselecteerd op basis van respectievelijk CD4 en CD8 expressie.  </w:t>
      </w:r>
    </w:p>
    <w:p w14:paraId="48670B5A" w14:textId="77777777" w:rsidR="000A5B37" w:rsidRDefault="00000000">
      <w:pPr>
        <w:spacing w:after="0" w:line="259" w:lineRule="auto"/>
        <w:ind w:left="0" w:right="0" w:firstLine="0"/>
        <w:jc w:val="left"/>
      </w:pPr>
      <w:r>
        <w:t xml:space="preserve"> </w:t>
      </w:r>
    </w:p>
    <w:p w14:paraId="342B63C6" w14:textId="77777777" w:rsidR="000A5B37" w:rsidRDefault="00000000">
      <w:pPr>
        <w:spacing w:after="44"/>
        <w:ind w:left="-5" w:right="0"/>
      </w:pPr>
      <w:r>
        <w:t>Voor de gating strategie met de basis markers wordt naast TCR</w:t>
      </w:r>
      <w:r>
        <w:rPr>
          <w:rFonts w:cs="Calibri"/>
        </w:rPr>
        <w:t>αβ</w:t>
      </w:r>
      <w:r>
        <w:t xml:space="preserve"> (of TCR</w:t>
      </w:r>
      <w:r>
        <w:rPr>
          <w:rFonts w:cs="Calibri"/>
        </w:rPr>
        <w:t>γδ</w:t>
      </w:r>
      <w:r>
        <w:t>), CD3, CD4 en CD8 gebruik gemaakt van CD45RA (of CD45R0) en CD27 (of CD28) om de naïeve (CD27</w:t>
      </w:r>
      <w:r>
        <w:rPr>
          <w:vertAlign w:val="superscript"/>
        </w:rPr>
        <w:t>+</w:t>
      </w:r>
      <w:r>
        <w:t>/CD28</w:t>
      </w:r>
      <w:r>
        <w:rPr>
          <w:vertAlign w:val="superscript"/>
        </w:rPr>
        <w:t xml:space="preserve">+ </w:t>
      </w:r>
      <w:r>
        <w:t xml:space="preserve">en </w:t>
      </w:r>
    </w:p>
    <w:p w14:paraId="7F9F61DE" w14:textId="77777777" w:rsidR="000A5B37" w:rsidRDefault="00000000">
      <w:pPr>
        <w:ind w:left="-5" w:right="0"/>
      </w:pPr>
      <w:r>
        <w:t>CD45RA</w:t>
      </w:r>
      <w:r>
        <w:rPr>
          <w:vertAlign w:val="superscript"/>
        </w:rPr>
        <w:t>hi</w:t>
      </w:r>
      <w:r>
        <w:t>/CD45RO</w:t>
      </w:r>
      <w:r>
        <w:rPr>
          <w:vertAlign w:val="superscript"/>
        </w:rPr>
        <w:t>-</w:t>
      </w:r>
      <w:r>
        <w:t>) T-cellen te onderscheiden van de memory, effector en ver-gedifferentieerde Tcellen. De dubbel-negatieve (CD4</w:t>
      </w:r>
      <w:r>
        <w:rPr>
          <w:vertAlign w:val="superscript"/>
        </w:rPr>
        <w:t>-</w:t>
      </w:r>
      <w:r>
        <w:t>CD8</w:t>
      </w:r>
      <w:r>
        <w:rPr>
          <w:vertAlign w:val="superscript"/>
        </w:rPr>
        <w:t>-</w:t>
      </w:r>
      <w:r>
        <w:t>) TCR</w:t>
      </w:r>
      <w:r>
        <w:rPr>
          <w:rFonts w:cs="Calibri"/>
        </w:rPr>
        <w:t>αβ T</w:t>
      </w:r>
      <w:r>
        <w:t xml:space="preserve">-cellen, voor de diagnostiek van ALPS, worden binnen </w:t>
      </w:r>
      <w:r>
        <w:rPr>
          <w:rFonts w:cs="Calibri"/>
        </w:rPr>
        <w:t>de TCRαβ</w:t>
      </w:r>
      <w:r>
        <w:rPr>
          <w:vertAlign w:val="superscript"/>
        </w:rPr>
        <w:t>+</w:t>
      </w:r>
      <w:r>
        <w:t xml:space="preserve"> populatie bepaald op basis van afwezige expressie van CD4 en CD8. </w:t>
      </w:r>
    </w:p>
    <w:p w14:paraId="207A71AB" w14:textId="77777777" w:rsidR="000A5B37" w:rsidRDefault="00000000">
      <w:pPr>
        <w:spacing w:after="0" w:line="259" w:lineRule="auto"/>
        <w:ind w:left="0" w:right="0" w:firstLine="0"/>
        <w:jc w:val="left"/>
      </w:pPr>
      <w:r>
        <w:t xml:space="preserve"> </w:t>
      </w:r>
    </w:p>
    <w:p w14:paraId="146775E1" w14:textId="77777777" w:rsidR="000A5B37" w:rsidRDefault="00000000">
      <w:pPr>
        <w:ind w:left="-5" w:right="0"/>
      </w:pPr>
      <w:r>
        <w:t>Bij de gating strategie o.b.v. de basis en aanvullende markers wordt gebruik gemaakt van CD45RA (of CD45R0), CD197, CD27 (of CD28). Binnen de CD4</w:t>
      </w:r>
      <w:r>
        <w:rPr>
          <w:vertAlign w:val="superscript"/>
        </w:rPr>
        <w:t>+</w:t>
      </w:r>
      <w:r>
        <w:t xml:space="preserve"> en CD8</w:t>
      </w:r>
      <w:r>
        <w:rPr>
          <w:vertAlign w:val="superscript"/>
        </w:rPr>
        <w:t>+</w:t>
      </w:r>
      <w:r>
        <w:t xml:space="preserve"> T-cellen wordt de CD45RA en CD197 expressie gebruikt om de naïeve (CD45RA</w:t>
      </w:r>
      <w:r>
        <w:rPr>
          <w:vertAlign w:val="superscript"/>
        </w:rPr>
        <w:t>+</w:t>
      </w:r>
      <w:r>
        <w:t>CD197</w:t>
      </w:r>
      <w:r>
        <w:rPr>
          <w:vertAlign w:val="superscript"/>
        </w:rPr>
        <w:t>+</w:t>
      </w:r>
      <w:r>
        <w:t>), central memory (CD45RA</w:t>
      </w:r>
      <w:r>
        <w:rPr>
          <w:vertAlign w:val="superscript"/>
        </w:rPr>
        <w:t>-</w:t>
      </w:r>
      <w:r>
        <w:t>CD197</w:t>
      </w:r>
      <w:r>
        <w:rPr>
          <w:vertAlign w:val="superscript"/>
        </w:rPr>
        <w:t>+</w:t>
      </w:r>
      <w:r>
        <w:t>), effector memory (CD45RA</w:t>
      </w:r>
      <w:r>
        <w:rPr>
          <w:vertAlign w:val="superscript"/>
        </w:rPr>
        <w:t>-</w:t>
      </w:r>
      <w:r>
        <w:t>CD197</w:t>
      </w:r>
      <w:r>
        <w:rPr>
          <w:vertAlign w:val="superscript"/>
        </w:rPr>
        <w:t>-</w:t>
      </w:r>
      <w:r>
        <w:t>) en ver-gedifferentieerde (CD45RA</w:t>
      </w:r>
      <w:r>
        <w:rPr>
          <w:vertAlign w:val="superscript"/>
        </w:rPr>
        <w:t>+</w:t>
      </w:r>
      <w:r>
        <w:t>CD197</w:t>
      </w:r>
      <w:r>
        <w:rPr>
          <w:vertAlign w:val="superscript"/>
        </w:rPr>
        <w:t>-</w:t>
      </w:r>
      <w:r>
        <w:t>) T-cellen te definiëren. De CD27 (of CD28) expressie kan vervolgens gebruikt worden om te checken of de naïeve T-cellen correct geïdentificeerd zijn; de naïeve T-cellen moeten allen CD27 (en CD28) tot expressie brengen. Binnen de CD4</w:t>
      </w:r>
      <w:r>
        <w:rPr>
          <w:vertAlign w:val="superscript"/>
        </w:rPr>
        <w:t>+</w:t>
      </w:r>
      <w:r>
        <w:t xml:space="preserve"> T-cellen worden de recente thymus-emigranten (T-cellen die recent de thymus hebben verlaten) geselecteerd als CD45RA</w:t>
      </w:r>
      <w:r>
        <w:rPr>
          <w:vertAlign w:val="superscript"/>
        </w:rPr>
        <w:t>+</w:t>
      </w:r>
      <w:r>
        <w:t>CD31</w:t>
      </w:r>
      <w:r>
        <w:rPr>
          <w:vertAlign w:val="superscript"/>
        </w:rPr>
        <w:t>+</w:t>
      </w:r>
      <w:r>
        <w:t>. Binnen de CD4</w:t>
      </w:r>
      <w:r>
        <w:rPr>
          <w:vertAlign w:val="superscript"/>
        </w:rPr>
        <w:t>+</w:t>
      </w:r>
      <w:r>
        <w:t xml:space="preserve"> en CD8</w:t>
      </w:r>
      <w:r>
        <w:rPr>
          <w:vertAlign w:val="superscript"/>
        </w:rPr>
        <w:t>+</w:t>
      </w:r>
      <w:r>
        <w:t xml:space="preserve"> T-cellen kunnen de geactiveerde T-cellen geselecteerd worden op basis van HLA-DR of CD38 expressie. Regulatoire T-cellen kunnen betrouwbaar geïdentificeerd worden op basis van CD25 en CD127 expressie (CD25</w:t>
      </w:r>
      <w:r>
        <w:rPr>
          <w:vertAlign w:val="superscript"/>
        </w:rPr>
        <w:t>hi</w:t>
      </w:r>
      <w:r>
        <w:t>CD127</w:t>
      </w:r>
      <w:r>
        <w:rPr>
          <w:vertAlign w:val="superscript"/>
        </w:rPr>
        <w:t>-</w:t>
      </w:r>
      <w:r>
        <w:t>), maar voor de PID diagnostiek in het kader van IPEX is, naast CD25 en CD127, een FOXP3 kleuring noodzakelijk. In een deel van de IPEX patiënten dat deficiënt is voor FOXP3</w:t>
      </w:r>
      <w:r>
        <w:rPr>
          <w:vertAlign w:val="superscript"/>
        </w:rPr>
        <w:t>+</w:t>
      </w:r>
      <w:r>
        <w:t xml:space="preserve"> regulatoire T-cellen worden namelijk wel CD25</w:t>
      </w:r>
      <w:r>
        <w:rPr>
          <w:vertAlign w:val="superscript"/>
        </w:rPr>
        <w:t>hi</w:t>
      </w:r>
      <w:r>
        <w:t>CD127</w:t>
      </w:r>
      <w:r>
        <w:rPr>
          <w:vertAlign w:val="superscript"/>
        </w:rPr>
        <w:t xml:space="preserve">- </w:t>
      </w:r>
      <w:r>
        <w:t>regulatoire T-cellen gedetecteerd.</w:t>
      </w:r>
      <w:r>
        <w:rPr>
          <w:vertAlign w:val="superscript"/>
        </w:rPr>
        <w:t>10</w:t>
      </w:r>
      <w:r>
        <w:rPr>
          <w:sz w:val="24"/>
        </w:rPr>
        <w:t xml:space="preserve">   </w:t>
      </w:r>
    </w:p>
    <w:p w14:paraId="6021FA86" w14:textId="77777777" w:rsidR="000A5B37" w:rsidRDefault="00000000">
      <w:pPr>
        <w:spacing w:after="0" w:line="259" w:lineRule="auto"/>
        <w:ind w:left="0" w:right="0" w:firstLine="0"/>
        <w:jc w:val="left"/>
      </w:pPr>
      <w:r>
        <w:t xml:space="preserve"> </w:t>
      </w:r>
    </w:p>
    <w:p w14:paraId="1294D2F4" w14:textId="77777777" w:rsidR="000A5B37" w:rsidRDefault="00000000">
      <w:pPr>
        <w:pStyle w:val="Kop1"/>
        <w:ind w:left="206" w:hanging="221"/>
      </w:pPr>
      <w:r>
        <w:t xml:space="preserve">Interpretatie  </w:t>
      </w:r>
    </w:p>
    <w:p w14:paraId="726DA02C" w14:textId="77777777" w:rsidR="000A5B37" w:rsidRDefault="00000000">
      <w:pPr>
        <w:ind w:left="-5" w:right="0"/>
      </w:pPr>
      <w:r>
        <w:t xml:space="preserve">5.1 Immuundeficiënties </w:t>
      </w:r>
    </w:p>
    <w:p w14:paraId="72A6A766" w14:textId="77777777" w:rsidR="000A5B37" w:rsidRDefault="00000000">
      <w:pPr>
        <w:ind w:left="-5" w:right="0"/>
      </w:pPr>
      <w:r>
        <w:t xml:space="preserve">5.1.1 Afwijkingen in B-cel subsets </w:t>
      </w:r>
    </w:p>
    <w:p w14:paraId="7E70F826" w14:textId="77777777" w:rsidR="000A5B37" w:rsidRDefault="00000000">
      <w:pPr>
        <w:ind w:left="-5" w:right="0"/>
      </w:pPr>
      <w:r>
        <w:t xml:space="preserve">Er wordt, aan de hand van de relatieve en absolute aantallen van de verschillende B-cel subsets onderzocht of er sprake is van een defect in de perifere B-cel differentiatie. Hierbij is belangrijk om op te merken dat  bij de meeste, maar niet alle CVID patiënten een defect in de perifere B-cel differentiatie wordt vastgesteld.   </w:t>
      </w:r>
    </w:p>
    <w:p w14:paraId="4EECD2FF" w14:textId="77777777" w:rsidR="000A5B37" w:rsidRDefault="00000000">
      <w:pPr>
        <w:ind w:left="-5" w:right="0"/>
      </w:pPr>
      <w:r>
        <w:t xml:space="preserve">Mogelijke afwijkingen in de perifere B-cel subset verdeling zijn: </w:t>
      </w:r>
    </w:p>
    <w:p w14:paraId="6E6770F4" w14:textId="77777777" w:rsidR="000A5B37" w:rsidRDefault="00000000">
      <w:pPr>
        <w:numPr>
          <w:ilvl w:val="0"/>
          <w:numId w:val="3"/>
        </w:numPr>
        <w:ind w:right="0" w:hanging="360"/>
      </w:pPr>
      <w:r>
        <w:t>Het meest voorkomende probleem bij CVID patiënten is een defect in de differentiatie van naïeve mature B-cellen (CD27</w:t>
      </w:r>
      <w:r>
        <w:rPr>
          <w:vertAlign w:val="superscript"/>
        </w:rPr>
        <w:t>-</w:t>
      </w:r>
      <w:r>
        <w:t>IgD</w:t>
      </w:r>
      <w:r>
        <w:rPr>
          <w:vertAlign w:val="superscript"/>
        </w:rPr>
        <w:t>+</w:t>
      </w:r>
      <w:r>
        <w:t>) naar memory B-cellen (CD27</w:t>
      </w:r>
      <w:r>
        <w:rPr>
          <w:vertAlign w:val="superscript"/>
        </w:rPr>
        <w:t>+</w:t>
      </w:r>
      <w:r>
        <w:t xml:space="preserve">), waarbij alleen het totaal aantal memory B-cellen verlaagd is. </w:t>
      </w:r>
    </w:p>
    <w:p w14:paraId="11652533" w14:textId="77777777" w:rsidR="000A5B37" w:rsidRDefault="00000000">
      <w:pPr>
        <w:numPr>
          <w:ilvl w:val="0"/>
          <w:numId w:val="3"/>
        </w:numPr>
        <w:ind w:right="0" w:hanging="360"/>
      </w:pPr>
      <w:r>
        <w:t xml:space="preserve">Een defect in klasse switch van de memory B-cellen. Hierbij zijn er wel memory B-cellen aanwezig, maar is het aantal isotype-geswitchte memory B-cellen verlaagd. </w:t>
      </w:r>
    </w:p>
    <w:p w14:paraId="7050C002" w14:textId="77777777" w:rsidR="000A5B37" w:rsidRDefault="00000000">
      <w:pPr>
        <w:numPr>
          <w:ilvl w:val="0"/>
          <w:numId w:val="3"/>
        </w:numPr>
        <w:spacing w:after="36"/>
        <w:ind w:right="0" w:hanging="360"/>
      </w:pPr>
      <w:r>
        <w:t>Een defect in de proliferatie/overleving van de B-cellen, waarbij met name het aantal naïeve mature B-cellen (CD27</w:t>
      </w:r>
      <w:r>
        <w:rPr>
          <w:vertAlign w:val="superscript"/>
        </w:rPr>
        <w:t>-</w:t>
      </w:r>
      <w:r>
        <w:t>IgD</w:t>
      </w:r>
      <w:r>
        <w:rPr>
          <w:vertAlign w:val="superscript"/>
        </w:rPr>
        <w:t>+</w:t>
      </w:r>
      <w:r>
        <w:t>), maar ook de aantallen niet-isotype geswitchte memory B-cellen (CD27</w:t>
      </w:r>
      <w:r>
        <w:rPr>
          <w:vertAlign w:val="superscript"/>
        </w:rPr>
        <w:t>+</w:t>
      </w:r>
      <w:r>
        <w:t>IgD</w:t>
      </w:r>
      <w:r>
        <w:rPr>
          <w:vertAlign w:val="superscript"/>
        </w:rPr>
        <w:t>+</w:t>
      </w:r>
      <w:r>
        <w:t>) en isotype-geswitchte memory B-cellen (CD27</w:t>
      </w:r>
      <w:r>
        <w:rPr>
          <w:vertAlign w:val="superscript"/>
        </w:rPr>
        <w:t>+</w:t>
      </w:r>
      <w:r>
        <w:t>IgD</w:t>
      </w:r>
      <w:r>
        <w:rPr>
          <w:vertAlign w:val="superscript"/>
        </w:rPr>
        <w:t>-</w:t>
      </w:r>
      <w:r>
        <w:t xml:space="preserve">) verlaagd zijn.  </w:t>
      </w:r>
    </w:p>
    <w:p w14:paraId="64E30C8D" w14:textId="77777777" w:rsidR="000A5B37" w:rsidRDefault="00000000">
      <w:pPr>
        <w:numPr>
          <w:ilvl w:val="0"/>
          <w:numId w:val="3"/>
        </w:numPr>
        <w:spacing w:after="34"/>
        <w:ind w:right="0" w:hanging="360"/>
      </w:pPr>
      <w:r>
        <w:t>Een defect in de aanmaak van B-cellen vanuit het beenmerg, waarbij met name het aantal transitionele B-cellen (CD38</w:t>
      </w:r>
      <w:r>
        <w:rPr>
          <w:vertAlign w:val="superscript"/>
        </w:rPr>
        <w:t>+</w:t>
      </w:r>
      <w:r>
        <w:t>,CD24</w:t>
      </w:r>
      <w:r>
        <w:rPr>
          <w:vertAlign w:val="superscript"/>
        </w:rPr>
        <w:t>+</w:t>
      </w:r>
      <w:r>
        <w:t xml:space="preserve">), maar ook de overige B-cel subsets verlaagd zijn.  </w:t>
      </w:r>
    </w:p>
    <w:p w14:paraId="756578ED" w14:textId="77777777" w:rsidR="000A5B37" w:rsidRDefault="00000000">
      <w:pPr>
        <w:numPr>
          <w:ilvl w:val="0"/>
          <w:numId w:val="3"/>
        </w:numPr>
        <w:spacing w:after="61"/>
        <w:ind w:right="0" w:hanging="360"/>
      </w:pPr>
      <w:r>
        <w:t>Een verhoogd percentage transitionele B-cellen en verlaagd percentage isotype-geswitchte memory B-cellen (CD27</w:t>
      </w:r>
      <w:r>
        <w:rPr>
          <w:vertAlign w:val="superscript"/>
        </w:rPr>
        <w:t>+</w:t>
      </w:r>
      <w:r>
        <w:t>IgD</w:t>
      </w:r>
      <w:r>
        <w:rPr>
          <w:vertAlign w:val="superscript"/>
        </w:rPr>
        <w:t>-</w:t>
      </w:r>
      <w:r>
        <w:t>IgM</w:t>
      </w:r>
      <w:r>
        <w:rPr>
          <w:vertAlign w:val="superscript"/>
        </w:rPr>
        <w:t>-</w:t>
      </w:r>
      <w:r>
        <w:t>) wordt in een deel van de patiënten met a</w:t>
      </w:r>
      <w:r>
        <w:rPr>
          <w:color w:val="222222"/>
        </w:rPr>
        <w:t>ctivated phosphoinositide 3-kinase delta syndrome (APDS) gezien.</w:t>
      </w:r>
      <w:r>
        <w:rPr>
          <w:vertAlign w:val="superscript"/>
        </w:rPr>
        <w:t xml:space="preserve">11, 12 </w:t>
      </w:r>
      <w:r>
        <w:t xml:space="preserve"> </w:t>
      </w:r>
    </w:p>
    <w:p w14:paraId="50DD1807" w14:textId="77777777" w:rsidR="000A5B37" w:rsidRDefault="00000000">
      <w:pPr>
        <w:numPr>
          <w:ilvl w:val="0"/>
          <w:numId w:val="3"/>
        </w:numPr>
        <w:spacing w:after="55"/>
        <w:ind w:right="0" w:hanging="360"/>
      </w:pPr>
      <w:r>
        <w:t>Een verhoogd percentage CD21</w:t>
      </w:r>
      <w:r>
        <w:rPr>
          <w:vertAlign w:val="superscript"/>
        </w:rPr>
        <w:t>lo</w:t>
      </w:r>
      <w:r>
        <w:t xml:space="preserve"> is bij CVID patiënten geassocieerd met auto-immuun fenomenen. Deze populatie kan tevens verhoogd zijn bij patiënten met bepaalde virale en parasitaire infecties, CVID en auto-immuunziekten.</w:t>
      </w:r>
      <w:r>
        <w:rPr>
          <w:vertAlign w:val="superscript"/>
        </w:rPr>
        <w:t>13, 14</w:t>
      </w:r>
      <w:r>
        <w:t xml:space="preserve"> </w:t>
      </w:r>
    </w:p>
    <w:p w14:paraId="4CEFAF2A" w14:textId="77777777" w:rsidR="000A5B37" w:rsidRDefault="00000000">
      <w:pPr>
        <w:spacing w:after="0" w:line="259" w:lineRule="auto"/>
        <w:ind w:left="0" w:right="0" w:firstLine="0"/>
        <w:jc w:val="left"/>
      </w:pPr>
      <w:r>
        <w:rPr>
          <w:sz w:val="24"/>
        </w:rPr>
        <w:t xml:space="preserve"> </w:t>
      </w:r>
    </w:p>
    <w:p w14:paraId="221FCA4E" w14:textId="77777777" w:rsidR="000A5B37" w:rsidRDefault="00000000">
      <w:pPr>
        <w:ind w:left="-5" w:right="0"/>
      </w:pPr>
      <w:r>
        <w:lastRenderedPageBreak/>
        <w:t xml:space="preserve">5.1.2. Afwijkingen in T-cel subsets </w:t>
      </w:r>
    </w:p>
    <w:p w14:paraId="38A0E954" w14:textId="77777777" w:rsidR="000A5B37" w:rsidRDefault="00000000">
      <w:pPr>
        <w:numPr>
          <w:ilvl w:val="0"/>
          <w:numId w:val="3"/>
        </w:numPr>
        <w:ind w:right="0" w:hanging="360"/>
      </w:pPr>
      <w:r>
        <w:t>Circa 1% van de bevolking is drager van een polymorfisme van het CD45 gen, waardoor CD45RA niet kan switchen naar CD45R0. Bij deze mensen zijn de memory T-cellen CD45R0</w:t>
      </w:r>
      <w:r>
        <w:rPr>
          <w:vertAlign w:val="superscript"/>
        </w:rPr>
        <w:t>+</w:t>
      </w:r>
      <w:r>
        <w:t>CD45RA</w:t>
      </w:r>
      <w:r>
        <w:rPr>
          <w:vertAlign w:val="superscript"/>
        </w:rPr>
        <w:t>+</w:t>
      </w:r>
      <w:r>
        <w:t xml:space="preserve">. Dit wordt het CD45RA afschakel defect genoemd. Dit heeft voor zover bekend geen functionele gevolgen. </w:t>
      </w:r>
    </w:p>
    <w:p w14:paraId="102410F0" w14:textId="77777777" w:rsidR="000A5B37" w:rsidRDefault="00000000">
      <w:pPr>
        <w:numPr>
          <w:ilvl w:val="0"/>
          <w:numId w:val="3"/>
        </w:numPr>
        <w:ind w:right="0" w:hanging="360"/>
      </w:pPr>
      <w:r>
        <w:t>Een verhoogd aantal CD3</w:t>
      </w:r>
      <w:r>
        <w:rPr>
          <w:vertAlign w:val="superscript"/>
        </w:rPr>
        <w:t>+</w:t>
      </w:r>
      <w:r>
        <w:t>CD4</w:t>
      </w:r>
      <w:r>
        <w:rPr>
          <w:vertAlign w:val="superscript"/>
        </w:rPr>
        <w:t>-</w:t>
      </w:r>
      <w:r>
        <w:t>CD8</w:t>
      </w:r>
      <w:r>
        <w:rPr>
          <w:vertAlign w:val="superscript"/>
        </w:rPr>
        <w:t>-</w:t>
      </w:r>
      <w:r>
        <w:t xml:space="preserve"> (dubbel-negatieve) T-cellen kan veroorzaakt worden door een verhoogd aantal TCR</w:t>
      </w:r>
      <w:r>
        <w:rPr>
          <w:rFonts w:cs="Calibri"/>
        </w:rPr>
        <w:t xml:space="preserve">γδ </w:t>
      </w:r>
      <w:r>
        <w:t>T-cellen of door een verhoogd aantal dubbel-negatieve TCR</w:t>
      </w:r>
      <w:r>
        <w:rPr>
          <w:rFonts w:cs="Calibri"/>
        </w:rPr>
        <w:t xml:space="preserve">αβ </w:t>
      </w:r>
      <w:r>
        <w:t>T-cellen. Een verhoogd percentage TCR</w:t>
      </w:r>
      <w:r>
        <w:rPr>
          <w:rFonts w:cs="Calibri"/>
        </w:rPr>
        <w:t xml:space="preserve">γδ </w:t>
      </w:r>
      <w:r>
        <w:t>T-cellen (&gt;10%) kan veroorzaakt worden door bv. een infectie of een auto-immuun ziekte of wordt gezien indien het absoluut aantal TCR</w:t>
      </w:r>
      <w:r>
        <w:rPr>
          <w:rFonts w:cs="Calibri"/>
        </w:rPr>
        <w:t xml:space="preserve">αβ </w:t>
      </w:r>
      <w:r>
        <w:t>T-cellen laag is. Een verhoogd aantal dubbel-negatieve TCR</w:t>
      </w:r>
      <w:r>
        <w:rPr>
          <w:rFonts w:cs="Calibri"/>
        </w:rPr>
        <w:t xml:space="preserve">αβ </w:t>
      </w:r>
      <w:r>
        <w:t>T-cellen (</w:t>
      </w:r>
      <w:r>
        <w:rPr>
          <w:rFonts w:cs="Calibri"/>
        </w:rPr>
        <w:t>TCRαβ</w:t>
      </w:r>
      <w:r>
        <w:rPr>
          <w:vertAlign w:val="superscript"/>
        </w:rPr>
        <w:t>+</w:t>
      </w:r>
      <w:r>
        <w:t>CD3</w:t>
      </w:r>
      <w:r>
        <w:rPr>
          <w:vertAlign w:val="superscript"/>
        </w:rPr>
        <w:t>+</w:t>
      </w:r>
      <w:r>
        <w:t>CD4</w:t>
      </w:r>
      <w:r>
        <w:rPr>
          <w:vertAlign w:val="superscript"/>
        </w:rPr>
        <w:t>-</w:t>
      </w:r>
      <w:r>
        <w:t>CD8</w:t>
      </w:r>
      <w:r>
        <w:rPr>
          <w:vertAlign w:val="superscript"/>
        </w:rPr>
        <w:t>-</w:t>
      </w:r>
      <w:r>
        <w:t xml:space="preserve"> </w:t>
      </w:r>
      <w:r>
        <w:rPr>
          <w:rFonts w:cs="Calibri"/>
        </w:rPr>
        <w:t>van de TCRαβ</w:t>
      </w:r>
      <w:r>
        <w:rPr>
          <w:vertAlign w:val="superscript"/>
        </w:rPr>
        <w:t>+</w:t>
      </w:r>
      <w:r>
        <w:t>CD3</w:t>
      </w:r>
      <w:r>
        <w:rPr>
          <w:vertAlign w:val="superscript"/>
        </w:rPr>
        <w:t>+</w:t>
      </w:r>
      <w:r>
        <w:t xml:space="preserve"> Tcellen &gt;6%)</w:t>
      </w:r>
      <w:r>
        <w:rPr>
          <w:vertAlign w:val="superscript"/>
        </w:rPr>
        <w:t>1</w:t>
      </w:r>
      <w:r>
        <w:t xml:space="preserve"> komt voor bij patiënten met het auto-immuun lymfoproliferatief syndroom (ALPS). Deze patiënten hebben een mutatie in Fas (of FasL of een signaleringsmolecuul in de Fas cascade), waardoor de T-cellen niet in apoptose gaan. Aan het einde van iedere immuunrespons dienen effector cellen weer geëlimineerd te worden om een goede homeostase van het immuunsysteem te waarborgen. CD95 (Fas) speelt hier een belangrijke rol in en triggering van Fas door Fas-ligand leidt tot apoptose van de T-cellen. Bij ALPS patiënten ontstaat er een ophoping van T-cellen in de lymfeklieren en de milt, wat gepaard gaat met auto-immuun verschijnselen. Een normaal percentage dubbel-negatieve TCR</w:t>
      </w:r>
      <w:r>
        <w:rPr>
          <w:rFonts w:cs="Calibri"/>
        </w:rPr>
        <w:t xml:space="preserve">αβ </w:t>
      </w:r>
      <w:r>
        <w:t>T-cellen sluit de diagnose ALPS echter niet uit, aangezien de cellen zich ook in de weefsels kunnen bevinden. Verhoogde percentages dubbel-negatieve TCR</w:t>
      </w:r>
      <w:r>
        <w:rPr>
          <w:rFonts w:cs="Calibri"/>
        </w:rPr>
        <w:t xml:space="preserve">αβ </w:t>
      </w:r>
      <w:r>
        <w:t xml:space="preserve">T-cellen kan ook gezien worden bij o.a. CVID. </w:t>
      </w:r>
      <w:r>
        <w:rPr>
          <w:rFonts w:ascii="Courier New" w:eastAsia="Courier New" w:hAnsi="Courier New" w:cs="Courier New"/>
        </w:rPr>
        <w:t>o</w:t>
      </w:r>
      <w:r>
        <w:rPr>
          <w:rFonts w:ascii="Arial" w:eastAsia="Arial" w:hAnsi="Arial" w:cs="Arial"/>
        </w:rPr>
        <w:t xml:space="preserve"> </w:t>
      </w:r>
      <w:r>
        <w:t>Een verlaagd aantal naïeve T-cellen (CD4 en/of CD8), verhoogd aantal TCR</w:t>
      </w:r>
      <w:r>
        <w:rPr>
          <w:rFonts w:cs="Calibri"/>
        </w:rPr>
        <w:t xml:space="preserve">γδ </w:t>
      </w:r>
      <w:r>
        <w:t xml:space="preserve">T-cellen kan gezien worden bij combined immunodeficiency.   </w:t>
      </w:r>
    </w:p>
    <w:p w14:paraId="52AA7D5C" w14:textId="77777777" w:rsidR="000A5B37" w:rsidRDefault="00000000">
      <w:pPr>
        <w:numPr>
          <w:ilvl w:val="0"/>
          <w:numId w:val="3"/>
        </w:numPr>
        <w:spacing w:after="55"/>
        <w:ind w:right="0" w:hanging="360"/>
      </w:pPr>
      <w:r>
        <w:t>Een verhoogd percentage (leeftijdsafhankelijk) ver-gedifferentieerde CD8</w:t>
      </w:r>
      <w:r>
        <w:rPr>
          <w:vertAlign w:val="superscript"/>
        </w:rPr>
        <w:t>+</w:t>
      </w:r>
      <w:r>
        <w:t xml:space="preserve"> T-cellen (CD8</w:t>
      </w:r>
      <w:r>
        <w:rPr>
          <w:vertAlign w:val="superscript"/>
        </w:rPr>
        <w:t>+</w:t>
      </w:r>
      <w:r>
        <w:t>CD27</w:t>
      </w:r>
      <w:r>
        <w:rPr>
          <w:vertAlign w:val="superscript"/>
        </w:rPr>
        <w:t>-</w:t>
      </w:r>
      <w:r>
        <w:t>) past bij een latente CMV infectie en is niet afwijkend indien de patiënt seropositief is voor CMV. Bij een CMV seronegatieve patiënt is een verhoogd percentage ver-gedifferentieerde CD8</w:t>
      </w:r>
      <w:r>
        <w:rPr>
          <w:vertAlign w:val="superscript"/>
        </w:rPr>
        <w:t>+</w:t>
      </w:r>
      <w:r>
        <w:t xml:space="preserve"> T-cellen afwijkend en een aanwijzing voor een mogelijke immuundeficiëntie.</w:t>
      </w:r>
      <w:r>
        <w:rPr>
          <w:vertAlign w:val="superscript"/>
        </w:rPr>
        <w:t>15</w:t>
      </w:r>
      <w:r>
        <w:t xml:space="preserve"> </w:t>
      </w:r>
    </w:p>
    <w:p w14:paraId="719818C5" w14:textId="77777777" w:rsidR="000A5B37" w:rsidRDefault="00000000">
      <w:pPr>
        <w:numPr>
          <w:ilvl w:val="0"/>
          <w:numId w:val="3"/>
        </w:numPr>
        <w:ind w:right="0" w:hanging="360"/>
      </w:pPr>
      <w:r>
        <w:t>Verlaagde of afwezige expressie van FOXP3 in CD4</w:t>
      </w:r>
      <w:r>
        <w:rPr>
          <w:vertAlign w:val="superscript"/>
        </w:rPr>
        <w:t>+</w:t>
      </w:r>
      <w:r>
        <w:t xml:space="preserve"> CD25</w:t>
      </w:r>
      <w:r>
        <w:rPr>
          <w:vertAlign w:val="superscript"/>
        </w:rPr>
        <w:t>+</w:t>
      </w:r>
      <w:r>
        <w:t xml:space="preserve"> T-cellen kan passen bij IPEX. De CD25 expressie is dan normaal.  </w:t>
      </w:r>
    </w:p>
    <w:p w14:paraId="72FB4269" w14:textId="77777777" w:rsidR="000A5B37" w:rsidRDefault="00000000">
      <w:pPr>
        <w:numPr>
          <w:ilvl w:val="0"/>
          <w:numId w:val="3"/>
        </w:numPr>
        <w:ind w:right="0" w:hanging="360"/>
      </w:pPr>
      <w:r>
        <w:t xml:space="preserve">Een verlaagde of afwezige expressie van CD25 kan passen bij een CD25 deficiëntie. Enkele  andere voorbeelden van deficiënties - niet alles omvattend en gericht op toepassing van de panels - zijn MHCII, CD27 en CD28 deficiënties. </w:t>
      </w:r>
    </w:p>
    <w:p w14:paraId="2C2FB84C" w14:textId="77777777" w:rsidR="000A5B37" w:rsidRDefault="00000000">
      <w:pPr>
        <w:numPr>
          <w:ilvl w:val="0"/>
          <w:numId w:val="3"/>
        </w:numPr>
        <w:ind w:right="0" w:hanging="360"/>
      </w:pPr>
      <w:r>
        <w:t>Een verlaagd percentage regulatoire CD4</w:t>
      </w:r>
      <w:r>
        <w:rPr>
          <w:vertAlign w:val="superscript"/>
        </w:rPr>
        <w:t>+</w:t>
      </w:r>
      <w:r>
        <w:t>CD25</w:t>
      </w:r>
      <w:r>
        <w:rPr>
          <w:vertAlign w:val="superscript"/>
        </w:rPr>
        <w:t>hi</w:t>
      </w:r>
      <w:r>
        <w:t>CD127</w:t>
      </w:r>
      <w:r>
        <w:rPr>
          <w:vertAlign w:val="superscript"/>
        </w:rPr>
        <w:t>lo</w:t>
      </w:r>
      <w:r>
        <w:t xml:space="preserve"> T-cellen kan een teken zijn van verminderde perifere tolerantie en passen bij auto-immuniteit. </w:t>
      </w:r>
    </w:p>
    <w:p w14:paraId="3DBE02B7" w14:textId="77777777" w:rsidR="000A5B37" w:rsidRDefault="00000000">
      <w:pPr>
        <w:numPr>
          <w:ilvl w:val="0"/>
          <w:numId w:val="3"/>
        </w:numPr>
        <w:ind w:right="0" w:hanging="360"/>
      </w:pPr>
      <w:r>
        <w:t>Een verhoogd percentage CD38</w:t>
      </w:r>
      <w:r>
        <w:rPr>
          <w:vertAlign w:val="superscript"/>
        </w:rPr>
        <w:t>hi</w:t>
      </w:r>
      <w:r>
        <w:t>HLA-DR</w:t>
      </w:r>
      <w:r>
        <w:rPr>
          <w:vertAlign w:val="superscript"/>
        </w:rPr>
        <w:t>+</w:t>
      </w:r>
      <w:r>
        <w:t xml:space="preserve"> T-cellen (CD4</w:t>
      </w:r>
      <w:r>
        <w:rPr>
          <w:vertAlign w:val="superscript"/>
        </w:rPr>
        <w:t>+</w:t>
      </w:r>
      <w:r>
        <w:t xml:space="preserve"> en CD8</w:t>
      </w:r>
      <w:r>
        <w:rPr>
          <w:vertAlign w:val="superscript"/>
        </w:rPr>
        <w:t>+</w:t>
      </w:r>
      <w:r>
        <w:t xml:space="preserve">) kan een teken zijn van hyperinflammatie en immuundysregulatie, mits er geen sprake is van een infectie. </w:t>
      </w:r>
    </w:p>
    <w:p w14:paraId="3D7B0EC8" w14:textId="77777777" w:rsidR="000A5B37" w:rsidRDefault="00000000">
      <w:pPr>
        <w:numPr>
          <w:ilvl w:val="1"/>
          <w:numId w:val="5"/>
        </w:numPr>
        <w:ind w:right="0" w:hanging="331"/>
      </w:pPr>
      <w:r>
        <w:t xml:space="preserve">Immuunmonitoring </w:t>
      </w:r>
    </w:p>
    <w:p w14:paraId="34F2E281" w14:textId="77777777" w:rsidR="000A5B37" w:rsidRDefault="00000000">
      <w:pPr>
        <w:ind w:left="-5" w:right="0"/>
      </w:pPr>
      <w:r>
        <w:t>Het monitoren van lymfocyten subsets is het meest bekend van de patiënten met een HIV besmetting waarbij de absolute aantallen CD4</w:t>
      </w:r>
      <w:r>
        <w:rPr>
          <w:vertAlign w:val="superscript"/>
        </w:rPr>
        <w:t>+</w:t>
      </w:r>
      <w:r>
        <w:t xml:space="preserve"> T-cellen </w:t>
      </w:r>
      <w:r>
        <w:rPr>
          <w:rFonts w:cs="Calibri"/>
        </w:rPr>
        <w:t xml:space="preserve">een belangrijke parameter zijn om de risico’s op </w:t>
      </w:r>
      <w:r>
        <w:t>opportunistische infecties in te schatten. Sinds het gebruik van B-cel depletie als therapie voor verschillende auto-immuunziekten wordt ook het monitoren van absolute aantallen B-cellen veel gebruikt om de therapie frequentie vast te kunnen stellen. Herstel vindt plaats vanuit het beenmerg en daarom is het verschijnen van transitionele B-cellen een teken van repopulatie. In sommige ziekten, zoals SLE, bevinden zich relatief veel plasmablasten in de circulatie die resistent zijn tegen de meeste vormen van B-cel depletie. Onderscheid tussen transitionele B-cellen en plasmablasten is daarom van toegevoegde waarde ten aanzien van besluitvorming over het herhalen van therapie. Bovenmatige aanwezigheid van plasmablasten kan bovendien een overweging zijn om belumimab (anti-Blys) toe te voegen als therapie. Immuunsuppressie, zoals veelal gegeven wordt bij ziektebeelden als SLE en ANCAgeassocieerde vasculitis (AAV), resulteert in ernstige aantasting van het immuunsysteem. De kritische ondergrens van 200 CD4</w:t>
      </w:r>
      <w:r>
        <w:rPr>
          <w:vertAlign w:val="superscript"/>
        </w:rPr>
        <w:t>+</w:t>
      </w:r>
      <w:r>
        <w:t xml:space="preserve"> T-cellen/µL, die gehanteerd wordt bij HIV patiënten, wordt ook bij patiënten langdurig behandeld met cyclofosfamide en/of corticosteroïden regelmatig gepasseerd. </w:t>
      </w:r>
      <w:r>
        <w:lastRenderedPageBreak/>
        <w:t>Adequate profylaxe tegen opportunistische infecties is dan ook aangewezen. Bovendien biedt immuunmonitoring de mogelijkheid voor de arts om een goede afweging te maken met betrekking tot het delicate evenwicht tussen enerzijds een effectieve behandeling van de auto-immuunziekte en anderzijds het risico op infecties, maligniteiten en/of hart- en vaatziekten. Hierbij is informatief de aanwezigheid van (i) geactiveerde T-cellen als teken van ziekteactiviteit (ii) NK-cellen, vaak gereduceerd na langdurig azathioprine gebruik en risicofactor voor het ontwikkelen van maligniteiten (iii) effector memory T-cellen in het CD4</w:t>
      </w:r>
      <w:r>
        <w:rPr>
          <w:vertAlign w:val="superscript"/>
        </w:rPr>
        <w:t>+</w:t>
      </w:r>
      <w:r>
        <w:t xml:space="preserve"> T-cel compartiment, als risicofactor voor hart- en vaatziekten en (iv) effector memory T-cellen in het CD8</w:t>
      </w:r>
      <w:r>
        <w:rPr>
          <w:vertAlign w:val="superscript"/>
        </w:rPr>
        <w:t>+</w:t>
      </w:r>
      <w:r>
        <w:t xml:space="preserve"> T-cel compartiment, als afspiegeling van chronische virale infecties. Het effectief gebruiken van immuunmonitoring vergt derhalve een goede kennis van de differentiële effecten van immuunsuppressieve therapieën op de lymfocyten subsets zoals bepaald in een uitgebreide immuunfenotypering. </w:t>
      </w:r>
    </w:p>
    <w:p w14:paraId="64E82C27" w14:textId="77777777" w:rsidR="000A5B37" w:rsidRDefault="00000000">
      <w:pPr>
        <w:spacing w:after="0" w:line="259" w:lineRule="auto"/>
        <w:ind w:left="0" w:right="0" w:firstLine="0"/>
        <w:jc w:val="left"/>
      </w:pPr>
      <w:r>
        <w:t xml:space="preserve"> </w:t>
      </w:r>
    </w:p>
    <w:p w14:paraId="39F2C456" w14:textId="77777777" w:rsidR="000A5B37" w:rsidRDefault="00000000">
      <w:pPr>
        <w:numPr>
          <w:ilvl w:val="1"/>
          <w:numId w:val="5"/>
        </w:numPr>
        <w:ind w:right="0" w:hanging="331"/>
      </w:pPr>
      <w:r>
        <w:t xml:space="preserve">Immuunreconstitutie </w:t>
      </w:r>
    </w:p>
    <w:p w14:paraId="3162EDDC" w14:textId="77777777" w:rsidR="000A5B37" w:rsidRDefault="00000000">
      <w:pPr>
        <w:spacing w:after="42"/>
        <w:ind w:left="-5" w:right="0"/>
      </w:pPr>
      <w:r>
        <w:t xml:space="preserve">Bij de immuunreconstitutie bepalingen worden de resultaten direct gerapporteerd aan de kliniek. Na stamceltransplantatie kan de aanvragend arts de resultaten gebruiken voor: </w:t>
      </w:r>
    </w:p>
    <w:p w14:paraId="3B4BE9DD" w14:textId="77777777" w:rsidR="000A5B37" w:rsidRDefault="00000000">
      <w:pPr>
        <w:numPr>
          <w:ilvl w:val="2"/>
          <w:numId w:val="4"/>
        </w:numPr>
        <w:spacing w:after="47"/>
        <w:ind w:right="0" w:hanging="360"/>
      </w:pPr>
      <w:r>
        <w:t>Het vaststellen van discontinuatie cotrimoxazol behandeling op basis van het CD4</w:t>
      </w:r>
      <w:r>
        <w:rPr>
          <w:vertAlign w:val="superscript"/>
        </w:rPr>
        <w:t>+</w:t>
      </w:r>
      <w:r>
        <w:t xml:space="preserve"> T-cel aantal (in verband met Pneumocystis jirovecii pneumonia (PJP) risico). </w:t>
      </w:r>
    </w:p>
    <w:p w14:paraId="6A578E10" w14:textId="77777777" w:rsidR="000A5B37" w:rsidRDefault="00000000">
      <w:pPr>
        <w:numPr>
          <w:ilvl w:val="2"/>
          <w:numId w:val="4"/>
        </w:numPr>
        <w:spacing w:after="48"/>
        <w:ind w:right="0" w:hanging="360"/>
      </w:pPr>
      <w:r>
        <w:t xml:space="preserve">Het vaststellen van discontinuatie IVIG-behandeling op basis van het B-cel aantal. </w:t>
      </w:r>
    </w:p>
    <w:p w14:paraId="3BF1E04B" w14:textId="77777777" w:rsidR="000A5B37" w:rsidRDefault="00000000">
      <w:pPr>
        <w:numPr>
          <w:ilvl w:val="2"/>
          <w:numId w:val="4"/>
        </w:numPr>
        <w:spacing w:after="44"/>
        <w:ind w:right="0" w:hanging="360"/>
      </w:pPr>
      <w:r>
        <w:t xml:space="preserve">Starten vaccinatie schema. </w:t>
      </w:r>
    </w:p>
    <w:p w14:paraId="493666FA" w14:textId="77777777" w:rsidR="000A5B37" w:rsidRDefault="00000000">
      <w:pPr>
        <w:numPr>
          <w:ilvl w:val="2"/>
          <w:numId w:val="4"/>
        </w:numPr>
        <w:spacing w:after="27"/>
        <w:ind w:right="0" w:hanging="360"/>
      </w:pPr>
      <w:r>
        <w:t>Interpretatie van klinisch graft-versus-host beeld op basis van het CD8</w:t>
      </w:r>
      <w:r>
        <w:rPr>
          <w:vertAlign w:val="superscript"/>
        </w:rPr>
        <w:t xml:space="preserve">+ </w:t>
      </w:r>
      <w:r>
        <w:t>T-cel aantal. Indien het aantal CD8</w:t>
      </w:r>
      <w:r>
        <w:rPr>
          <w:vertAlign w:val="superscript"/>
        </w:rPr>
        <w:t>+</w:t>
      </w:r>
      <w:r>
        <w:t xml:space="preserve"> T-cellen laag is, dan is de kans dat er sprake is van graft-versus-host ziekte nihil . </w:t>
      </w:r>
    </w:p>
    <w:p w14:paraId="47195478" w14:textId="77777777" w:rsidR="000A5B37" w:rsidRDefault="00000000">
      <w:pPr>
        <w:spacing w:after="0" w:line="259" w:lineRule="auto"/>
        <w:ind w:left="0" w:right="0" w:firstLine="0"/>
        <w:jc w:val="left"/>
      </w:pPr>
      <w:r>
        <w:t xml:space="preserve"> </w:t>
      </w:r>
    </w:p>
    <w:p w14:paraId="31CA5CA8" w14:textId="77777777" w:rsidR="000A5B37" w:rsidRDefault="00000000">
      <w:pPr>
        <w:pStyle w:val="Kop1"/>
        <w:ind w:left="206" w:hanging="221"/>
      </w:pPr>
      <w:r>
        <w:t xml:space="preserve">Referentiewaarden </w:t>
      </w:r>
    </w:p>
    <w:p w14:paraId="3B516370" w14:textId="77777777" w:rsidR="000A5B37" w:rsidRDefault="00000000">
      <w:pPr>
        <w:ind w:left="-5" w:right="0"/>
      </w:pPr>
      <w:r>
        <w:t>Er worden diverse referentiewaarden gebruikt, gebaseerd op literatuur</w:t>
      </w:r>
      <w:r>
        <w:rPr>
          <w:vertAlign w:val="superscript"/>
        </w:rPr>
        <w:t xml:space="preserve"> </w:t>
      </w:r>
      <w:r>
        <w:t xml:space="preserve">of zelf gegenereerde referentiewaarden </w:t>
      </w:r>
      <w:r>
        <w:rPr>
          <w:vertAlign w:val="superscript"/>
        </w:rPr>
        <w:t>16-22</w:t>
      </w:r>
      <w:r>
        <w:t xml:space="preserve">. Belangrijk aspect bij de referentiewaarden is dat deze leeftijdsafhankelijk zijn. </w:t>
      </w:r>
    </w:p>
    <w:p w14:paraId="3C608153" w14:textId="77777777" w:rsidR="000A5B37" w:rsidRDefault="00000000">
      <w:pPr>
        <w:spacing w:after="0" w:line="259" w:lineRule="auto"/>
        <w:ind w:left="0" w:right="0" w:firstLine="0"/>
        <w:jc w:val="left"/>
      </w:pPr>
      <w:r>
        <w:t xml:space="preserve"> </w:t>
      </w:r>
    </w:p>
    <w:p w14:paraId="5D4E2B7C" w14:textId="77777777" w:rsidR="000A5B37" w:rsidRDefault="00000000">
      <w:pPr>
        <w:ind w:left="-5" w:right="0"/>
      </w:pPr>
      <w:r>
        <w:t xml:space="preserve">Het verdient aanbeveling om referentiewaarden van lymfocyten subset bepalingen uitgevoerd volgens deze aanbeveling opnieuw uit te voeren in een multi-center setting. Dit om een indruk te verkrijgen van de variatie van de testresultaten en te bepalen of het mogelijk is om universele referentiewaarden vast te stellen.  </w:t>
      </w:r>
    </w:p>
    <w:p w14:paraId="1AE72830" w14:textId="77777777" w:rsidR="000A5B37" w:rsidRDefault="00000000">
      <w:pPr>
        <w:spacing w:after="0" w:line="259" w:lineRule="auto"/>
        <w:ind w:left="0" w:right="0" w:firstLine="0"/>
        <w:jc w:val="left"/>
      </w:pPr>
      <w:r>
        <w:rPr>
          <w:rFonts w:cs="Calibri"/>
          <w:b/>
        </w:rPr>
        <w:t xml:space="preserve"> </w:t>
      </w:r>
    </w:p>
    <w:p w14:paraId="30FD81BF" w14:textId="77777777" w:rsidR="000A5B37" w:rsidRDefault="00000000">
      <w:pPr>
        <w:pStyle w:val="Kop1"/>
        <w:ind w:left="206" w:hanging="221"/>
      </w:pPr>
      <w:r>
        <w:t xml:space="preserve">Rapportage  </w:t>
      </w:r>
    </w:p>
    <w:p w14:paraId="08673ABB" w14:textId="77777777" w:rsidR="000A5B37" w:rsidRDefault="00000000">
      <w:pPr>
        <w:ind w:left="-5" w:right="0"/>
      </w:pPr>
      <w:r>
        <w:t xml:space="preserve">De resultaten worden geïnterpreteerd op basis van de flowcytometrische analyse, referentiewaarden en relevante klinische gegevens. Afhankelijk van de afspraken met de aanvragers wordt de vakinhoudelijke interpretatie van de resultaten eventueel gedeeld middels een tekstuele conclusie of in een MDO/casuïstiek bespreking.  </w:t>
      </w:r>
    </w:p>
    <w:p w14:paraId="7B44D034" w14:textId="77777777" w:rsidR="000A5B37" w:rsidRDefault="00000000">
      <w:pPr>
        <w:pStyle w:val="Kop1"/>
        <w:ind w:left="206" w:hanging="221"/>
      </w:pPr>
      <w:r>
        <w:t>Referenties</w:t>
      </w:r>
      <w:r>
        <w:rPr>
          <w:b w:val="0"/>
        </w:rPr>
        <w:t xml:space="preserve"> </w:t>
      </w:r>
    </w:p>
    <w:p w14:paraId="19F4448B" w14:textId="77777777" w:rsidR="000A5B37" w:rsidRDefault="00000000">
      <w:pPr>
        <w:numPr>
          <w:ilvl w:val="0"/>
          <w:numId w:val="6"/>
        </w:numPr>
        <w:ind w:right="0" w:hanging="360"/>
      </w:pPr>
      <w:r>
        <w:t xml:space="preserve">ESID </w:t>
      </w:r>
      <w:r>
        <w:tab/>
        <w:t xml:space="preserve">Registry </w:t>
      </w:r>
      <w:r>
        <w:tab/>
        <w:t xml:space="preserve">Working </w:t>
      </w:r>
      <w:r>
        <w:tab/>
        <w:t xml:space="preserve">Party </w:t>
      </w:r>
      <w:r>
        <w:tab/>
        <w:t xml:space="preserve">criteria </w:t>
      </w:r>
      <w:r>
        <w:tab/>
      </w:r>
      <w:hyperlink r:id="rId9">
        <w:r>
          <w:t>(</w:t>
        </w:r>
      </w:hyperlink>
      <w:hyperlink r:id="rId10">
        <w:r>
          <w:t>https://esid.org/Working</w:t>
        </w:r>
      </w:hyperlink>
      <w:hyperlink r:id="rId11">
        <w:r>
          <w:t>-</w:t>
        </w:r>
      </w:hyperlink>
      <w:hyperlink r:id="rId12">
        <w:r>
          <w:t>Parties/Registry</w:t>
        </w:r>
      </w:hyperlink>
      <w:hyperlink r:id="rId13">
        <w:r>
          <w:t>-</w:t>
        </w:r>
      </w:hyperlink>
      <w:hyperlink r:id="rId14">
        <w:r>
          <w:t>Working</w:t>
        </w:r>
      </w:hyperlink>
      <w:hyperlink r:id="rId15"/>
      <w:hyperlink r:id="rId16">
        <w:r>
          <w:t>Party/Diagnosis</w:t>
        </w:r>
      </w:hyperlink>
      <w:hyperlink r:id="rId17">
        <w:r>
          <w:t>-</w:t>
        </w:r>
      </w:hyperlink>
      <w:hyperlink r:id="rId18">
        <w:r>
          <w:t>criteria</w:t>
        </w:r>
      </w:hyperlink>
      <w:hyperlink r:id="rId19">
        <w:r>
          <w:t>)</w:t>
        </w:r>
      </w:hyperlink>
      <w:r>
        <w:t xml:space="preserve">  </w:t>
      </w:r>
    </w:p>
    <w:p w14:paraId="4AF64078" w14:textId="77777777" w:rsidR="000A5B37" w:rsidRDefault="00000000">
      <w:pPr>
        <w:numPr>
          <w:ilvl w:val="0"/>
          <w:numId w:val="6"/>
        </w:numPr>
        <w:ind w:right="0" w:hanging="360"/>
      </w:pPr>
      <w:r>
        <w:t xml:space="preserve">Adviescommissie Neonatale Screening SCID. Vervolgbeleid na verwijzing vanuit de hielprikscreening op SCID. </w:t>
      </w:r>
    </w:p>
    <w:p w14:paraId="6414095E" w14:textId="77777777" w:rsidR="000A5B37" w:rsidRDefault="00000000">
      <w:pPr>
        <w:numPr>
          <w:ilvl w:val="0"/>
          <w:numId w:val="6"/>
        </w:numPr>
        <w:ind w:right="0" w:hanging="360"/>
      </w:pPr>
      <w:r>
        <w:t xml:space="preserve">J.J.M. van Dongen, M. van der Burg, T. Kalina et al. EuroFlow-based flowcytometric diagnostic screening and classification of primary immunodeficiencies of the lymphoid system. Frontiers Immunol. 2019;13:10:1271.  </w:t>
      </w:r>
    </w:p>
    <w:p w14:paraId="6FB849D1" w14:textId="77777777" w:rsidR="000A5B37" w:rsidRDefault="00000000">
      <w:pPr>
        <w:numPr>
          <w:ilvl w:val="0"/>
          <w:numId w:val="6"/>
        </w:numPr>
        <w:ind w:right="0" w:hanging="360"/>
      </w:pPr>
      <w:r>
        <w:t xml:space="preserve">J. Damoiseaux, E.P.A. Kamer, V.H.J Van der Velden. Herstel van B-celimmuniteit na B-celdepletie: het belang van immuunmonitoring. NTVH 2012;18:60-67. </w:t>
      </w:r>
    </w:p>
    <w:p w14:paraId="0BF4BBA2" w14:textId="77777777" w:rsidR="000A5B37" w:rsidRDefault="00000000">
      <w:pPr>
        <w:numPr>
          <w:ilvl w:val="0"/>
          <w:numId w:val="6"/>
        </w:numPr>
        <w:ind w:right="0" w:hanging="360"/>
      </w:pPr>
      <w:r>
        <w:t xml:space="preserve">P. Roll, A. Palanichamy, C. Kneitz et al.. Regeneration of B cell subsets after transient B cell depletion using anti-CD20 antibodies in rheumatoid arthritis. Arthritis Rheum. 2006 Aug; 54(8):2377-86. </w:t>
      </w:r>
    </w:p>
    <w:p w14:paraId="46CEEE1F" w14:textId="77777777" w:rsidR="000A5B37" w:rsidRDefault="00000000">
      <w:pPr>
        <w:numPr>
          <w:ilvl w:val="0"/>
          <w:numId w:val="6"/>
        </w:numPr>
        <w:ind w:right="0" w:hanging="360"/>
      </w:pPr>
      <w:r>
        <w:lastRenderedPageBreak/>
        <w:t xml:space="preserve">Vaccinatieadviezen bij chronisch inflammatoire aandoeningen: </w:t>
      </w:r>
      <w:hyperlink r:id="rId20">
        <w:r>
          <w:t>https://lci.rivm.nl/overig/chronisch</w:t>
        </w:r>
      </w:hyperlink>
      <w:hyperlink r:id="rId21">
        <w:r>
          <w:t>-</w:t>
        </w:r>
      </w:hyperlink>
      <w:hyperlink r:id="rId22">
        <w:r>
          <w:t>inflammatoire</w:t>
        </w:r>
      </w:hyperlink>
      <w:hyperlink r:id="rId23">
        <w:r>
          <w:t>-</w:t>
        </w:r>
      </w:hyperlink>
      <w:hyperlink r:id="rId24">
        <w:r>
          <w:t>aandoeningen</w:t>
        </w:r>
      </w:hyperlink>
      <w:hyperlink r:id="rId25">
        <w:r>
          <w:t xml:space="preserve"> </w:t>
        </w:r>
      </w:hyperlink>
      <w:r>
        <w:t xml:space="preserve">(Publicatiedatum 29-04-2019). </w:t>
      </w:r>
    </w:p>
    <w:p w14:paraId="0B9204EA" w14:textId="77777777" w:rsidR="000A5B37" w:rsidRDefault="00000000">
      <w:pPr>
        <w:numPr>
          <w:ilvl w:val="0"/>
          <w:numId w:val="6"/>
        </w:numPr>
        <w:spacing w:after="1" w:line="255" w:lineRule="auto"/>
        <w:ind w:right="0" w:hanging="360"/>
      </w:pPr>
      <w:r>
        <w:t>A. Sureda, S. Corbacioglu, R. Greco. The EBMT Handbook: Hematopoietic Cell Transplantation and Cellular Therapies, ISBN 978-3-031-44079-3, 2024. Springer. (Online versie: www.ebmt.org) 8.</w:t>
      </w:r>
      <w:r>
        <w:rPr>
          <w:rFonts w:ascii="Arial" w:eastAsia="Arial" w:hAnsi="Arial" w:cs="Arial"/>
        </w:rPr>
        <w:t xml:space="preserve"> </w:t>
      </w:r>
      <w:r>
        <w:t xml:space="preserve">HOVON SCT werkgroep. Leidraad sampling na allogene stamceltransplantatie. 2024. Unpublished.  </w:t>
      </w:r>
    </w:p>
    <w:p w14:paraId="7BD33CD3" w14:textId="77777777" w:rsidR="000A5B37" w:rsidRDefault="00000000">
      <w:pPr>
        <w:numPr>
          <w:ilvl w:val="0"/>
          <w:numId w:val="7"/>
        </w:numPr>
        <w:ind w:right="0" w:hanging="360"/>
      </w:pPr>
      <w:r>
        <w:t xml:space="preserve">RIVM richtlijn: </w:t>
      </w:r>
      <w:hyperlink r:id="rId26">
        <w:r>
          <w:t>https://lci.rivm.nl/overig/hematologische</w:t>
        </w:r>
      </w:hyperlink>
      <w:hyperlink r:id="rId27">
        <w:r>
          <w:t>-</w:t>
        </w:r>
      </w:hyperlink>
      <w:hyperlink r:id="rId28">
        <w:r>
          <w:t>aandoeningen</w:t>
        </w:r>
      </w:hyperlink>
      <w:hyperlink r:id="rId29">
        <w:r>
          <w:t xml:space="preserve"> </w:t>
        </w:r>
      </w:hyperlink>
      <w:r>
        <w:t xml:space="preserve">(Publicatiedatum 06-052023). </w:t>
      </w:r>
    </w:p>
    <w:p w14:paraId="71D17737" w14:textId="77777777" w:rsidR="000A5B37" w:rsidRDefault="00000000">
      <w:pPr>
        <w:numPr>
          <w:ilvl w:val="0"/>
          <w:numId w:val="7"/>
        </w:numPr>
        <w:ind w:right="0" w:hanging="360"/>
      </w:pPr>
      <w:r>
        <w:t xml:space="preserve">K. Otsubo, H. Kanegane, Y. Kamachi et al. Identification of FOXP3-negative regulatory T-like (CD4 +CD25+CD127low) cells in patients with immune dysregulation, polyendocrinopathy, enteropathy, X-linked syndrome. Clin Immunol. 2011; 141(1):111-20 </w:t>
      </w:r>
    </w:p>
    <w:p w14:paraId="0BD76FE5" w14:textId="77777777" w:rsidR="000A5B37" w:rsidRDefault="00000000">
      <w:pPr>
        <w:numPr>
          <w:ilvl w:val="0"/>
          <w:numId w:val="7"/>
        </w:numPr>
        <w:ind w:right="0" w:hanging="360"/>
      </w:pPr>
      <w:r>
        <w:t xml:space="preserve">E. Elkaim, B. Neven, J. Bruneau et al. Clinical and immunologic phenotype associated with activated phosphoinositide 3-kinase </w:t>
      </w:r>
      <w:r>
        <w:rPr>
          <w:rFonts w:cs="Calibri"/>
        </w:rPr>
        <w:t>δ</w:t>
      </w:r>
      <w:r>
        <w:t xml:space="preserve"> syndrome 2: A cohort study. J Allergy Clin Immunol. 2016 Jul;138(1):210-218 </w:t>
      </w:r>
    </w:p>
    <w:p w14:paraId="62EC61DB" w14:textId="77777777" w:rsidR="000A5B37" w:rsidRDefault="00000000">
      <w:pPr>
        <w:numPr>
          <w:ilvl w:val="0"/>
          <w:numId w:val="7"/>
        </w:numPr>
        <w:ind w:right="0" w:hanging="360"/>
      </w:pPr>
      <w:r>
        <w:t>T.I. Coulter, A. Chandra, C.M. Bacon et al. Clinical spectrum and features of activated phosphoinositide 3-</w:t>
      </w:r>
      <w:r>
        <w:rPr>
          <w:rFonts w:cs="Calibri"/>
        </w:rPr>
        <w:t xml:space="preserve">kinase δ syndrome: A large patient cohort study. J Allergy Clin Immunol. 2017 </w:t>
      </w:r>
      <w:r>
        <w:t xml:space="preserve">Feb;139(2):597-606 </w:t>
      </w:r>
    </w:p>
    <w:p w14:paraId="2172FB35" w14:textId="77777777" w:rsidR="000A5B37" w:rsidRDefault="00000000">
      <w:pPr>
        <w:numPr>
          <w:ilvl w:val="0"/>
          <w:numId w:val="7"/>
        </w:numPr>
        <w:ind w:right="0" w:hanging="360"/>
      </w:pPr>
      <w:r>
        <w:t>C. Wehr, T. Kivioja, C. Schmitt et al. The EUROclass trial: defining subgroups in common variable immunodeficiency. Blood. 2008;111 (1): 77</w:t>
      </w:r>
      <w:r>
        <w:rPr>
          <w:rFonts w:cs="Calibri"/>
        </w:rPr>
        <w:t>–</w:t>
      </w:r>
      <w:r>
        <w:t xml:space="preserve">85. </w:t>
      </w:r>
    </w:p>
    <w:p w14:paraId="531BE244" w14:textId="77777777" w:rsidR="000A5B37" w:rsidRDefault="00000000">
      <w:pPr>
        <w:numPr>
          <w:ilvl w:val="0"/>
          <w:numId w:val="7"/>
        </w:numPr>
        <w:ind w:right="0" w:hanging="360"/>
      </w:pPr>
      <w:r>
        <w:t xml:space="preserve">J. Boileau, G. Mouillot, L. Gérard et al. Autoimmunity in common variable immunodeficiency: Correlation with lymphocyte phenotype in the French DEFI study. J. Autoimmun. 2011;36 (1): 2532 </w:t>
      </w:r>
    </w:p>
    <w:p w14:paraId="6FC42583" w14:textId="77777777" w:rsidR="000A5B37" w:rsidRDefault="00000000">
      <w:pPr>
        <w:numPr>
          <w:ilvl w:val="0"/>
          <w:numId w:val="7"/>
        </w:numPr>
        <w:ind w:right="0" w:hanging="360"/>
      </w:pPr>
      <w:r>
        <w:t xml:space="preserve">T.W. Kuijpers, M.T. Vossen, M.R. Gent et al. Frequencies of circulating cytolytic, CD45RA+CD27-, CD8+ T lymphocytes depend on infection with CMV. Immunol. 2003 Apr 15;170(8):4342-8. </w:t>
      </w:r>
    </w:p>
    <w:p w14:paraId="52E0187C" w14:textId="77777777" w:rsidR="000A5B37" w:rsidRDefault="00000000">
      <w:pPr>
        <w:numPr>
          <w:ilvl w:val="0"/>
          <w:numId w:val="7"/>
        </w:numPr>
        <w:spacing w:after="35" w:line="239" w:lineRule="auto"/>
        <w:ind w:right="0" w:hanging="360"/>
      </w:pPr>
      <w:r>
        <w:t xml:space="preserve">P. Saule, J. Trauet, V. Dutriez et al. </w:t>
      </w:r>
      <w:r>
        <w:rPr>
          <w:color w:val="212121"/>
        </w:rPr>
        <w:t xml:space="preserve">Accumulation of memory T cells from childhood to old age: central and effector memory cells in CD4(+) versus effector memory and terminally differentiated memory cells in CD8(+) compartment. </w:t>
      </w:r>
      <w:r>
        <w:t xml:space="preserve">Mechanisms of Ageing and Development 2006;127: 274281  </w:t>
      </w:r>
    </w:p>
    <w:p w14:paraId="7A183DA9" w14:textId="77777777" w:rsidR="000A5B37" w:rsidRDefault="00000000">
      <w:pPr>
        <w:numPr>
          <w:ilvl w:val="0"/>
          <w:numId w:val="7"/>
        </w:numPr>
        <w:spacing w:after="35" w:line="239" w:lineRule="auto"/>
        <w:ind w:right="0" w:hanging="360"/>
      </w:pPr>
      <w:r>
        <w:t xml:space="preserve">M. van der Burg, T. Kalina, M. Perez-Andres, et al. </w:t>
      </w:r>
      <w:r>
        <w:rPr>
          <w:color w:val="212121"/>
        </w:rPr>
        <w:t xml:space="preserve">The EuroFlow PID Orientation Tube for Flow Cytometric Diagnostic Screening of Primary Immunodeficiencies of the Lymphoid System. </w:t>
      </w:r>
      <w:r>
        <w:t xml:space="preserve">Frontiers Immunol. 2019;Mar 4:10:246.   </w:t>
      </w:r>
    </w:p>
    <w:p w14:paraId="0F027CD3" w14:textId="77777777" w:rsidR="000A5B37" w:rsidRDefault="00000000">
      <w:pPr>
        <w:numPr>
          <w:ilvl w:val="0"/>
          <w:numId w:val="7"/>
        </w:numPr>
        <w:ind w:right="0" w:hanging="360"/>
      </w:pPr>
      <w:r>
        <w:t xml:space="preserve">G.J Driessen, V..A.S.H Dalm, P.M van Hagen et al. Common variable immunodeficiency and idiopathic primary hypogammaglobulinemia: two different conditions within the same disease spectrum. Haematologica. 2013 Oct;98(10):1617-23. </w:t>
      </w:r>
    </w:p>
    <w:p w14:paraId="6D7B6B03" w14:textId="77777777" w:rsidR="000A5B37" w:rsidRDefault="00000000">
      <w:pPr>
        <w:numPr>
          <w:ilvl w:val="0"/>
          <w:numId w:val="7"/>
        </w:numPr>
        <w:ind w:right="0" w:hanging="360"/>
      </w:pPr>
      <w:r>
        <w:t xml:space="preserve">R. van Gent, C.M van Tilburg, E.E Nibbelke et al. Refined characterization and reference values of the pediatric T- and B-cell compartments. Clin. Immunol. 2009 Oct;133(1):95-107 </w:t>
      </w:r>
    </w:p>
    <w:p w14:paraId="32C5536B" w14:textId="77777777" w:rsidR="000A5B37" w:rsidRDefault="00000000">
      <w:pPr>
        <w:numPr>
          <w:ilvl w:val="0"/>
          <w:numId w:val="7"/>
        </w:numPr>
        <w:ind w:right="0" w:hanging="360"/>
      </w:pPr>
      <w:r>
        <w:t xml:space="preserve">W.M. Comans-Bitter, R. de Groot, R. van den Beemd et al. Immunophenotyping of blood lymphocytes in childhood. Reference values for lymphocyte subpopulations. J. Pediatr. 1997 Mar;130(3):388-93 </w:t>
      </w:r>
    </w:p>
    <w:p w14:paraId="571DF720" w14:textId="77777777" w:rsidR="000A5B37" w:rsidRDefault="00000000">
      <w:pPr>
        <w:numPr>
          <w:ilvl w:val="0"/>
          <w:numId w:val="7"/>
        </w:numPr>
        <w:ind w:right="0" w:hanging="360"/>
      </w:pPr>
      <w:r>
        <w:t xml:space="preserve">D.J. aan de Kerk, </w:t>
      </w:r>
      <w:r>
        <w:rPr>
          <w:sz w:val="24"/>
        </w:rPr>
        <w:t>M.H. Jansen</w:t>
      </w:r>
      <w:r>
        <w:t xml:space="preserve">, </w:t>
      </w:r>
      <w:r>
        <w:rPr>
          <w:sz w:val="24"/>
        </w:rPr>
        <w:t>I.J.M. ten Berge</w:t>
      </w:r>
      <w:r>
        <w:t xml:space="preserve"> et al. Identification of B cell defects using agedefined reference ranges for in vivo and in vitro B cell differentiation. J. Immunol. 2013 May 15;190(10):5012-9. </w:t>
      </w:r>
    </w:p>
    <w:p w14:paraId="339E7CDD" w14:textId="77777777" w:rsidR="000A5B37" w:rsidRDefault="00000000">
      <w:pPr>
        <w:numPr>
          <w:ilvl w:val="0"/>
          <w:numId w:val="7"/>
        </w:numPr>
        <w:spacing w:after="40"/>
        <w:ind w:right="0" w:hanging="360"/>
      </w:pPr>
      <w:r>
        <w:t xml:space="preserve">A. Oras, B. Quirant-Sanchez, D. Popadic et al. Comprehensive flow cytometric reference intervals of leukocyte subsets from six study centers across Europe. Clin. Exp. Immunol. 2020;202: 363-378. </w:t>
      </w:r>
    </w:p>
    <w:p w14:paraId="6228F5E3" w14:textId="77777777" w:rsidR="000A5B37" w:rsidRDefault="00000000">
      <w:pPr>
        <w:spacing w:after="0" w:line="259" w:lineRule="auto"/>
        <w:ind w:left="360" w:right="0" w:firstLine="0"/>
        <w:jc w:val="left"/>
      </w:pPr>
      <w:r>
        <w:rPr>
          <w:rFonts w:ascii="Segoe UI" w:eastAsia="Segoe UI" w:hAnsi="Segoe UI" w:cs="Segoe UI"/>
          <w:color w:val="0071BC"/>
          <w:sz w:val="24"/>
        </w:rPr>
        <w:t xml:space="preserve"> </w:t>
      </w:r>
    </w:p>
    <w:p w14:paraId="586DE9DE" w14:textId="77777777" w:rsidR="000A5B37" w:rsidRDefault="00000000">
      <w:pPr>
        <w:spacing w:after="0" w:line="259" w:lineRule="auto"/>
        <w:ind w:left="360" w:right="0" w:firstLine="0"/>
        <w:jc w:val="left"/>
      </w:pPr>
      <w:r>
        <w:rPr>
          <w:rFonts w:ascii="Segoe UI" w:eastAsia="Segoe UI" w:hAnsi="Segoe UI" w:cs="Segoe UI"/>
          <w:color w:val="0071BC"/>
          <w:sz w:val="24"/>
        </w:rPr>
        <w:t xml:space="preserve"> </w:t>
      </w:r>
    </w:p>
    <w:sectPr w:rsidR="000A5B37">
      <w:headerReference w:type="even" r:id="rId30"/>
      <w:headerReference w:type="default" r:id="rId31"/>
      <w:headerReference w:type="first" r:id="rId32"/>
      <w:pgSz w:w="11906" w:h="16838"/>
      <w:pgMar w:top="1459" w:right="1411" w:bottom="1422" w:left="1416" w:header="55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D5FE" w14:textId="77777777" w:rsidR="00617247" w:rsidRDefault="00617247">
      <w:pPr>
        <w:spacing w:after="0" w:line="240" w:lineRule="auto"/>
      </w:pPr>
      <w:r>
        <w:separator/>
      </w:r>
    </w:p>
  </w:endnote>
  <w:endnote w:type="continuationSeparator" w:id="0">
    <w:p w14:paraId="4370CED3" w14:textId="77777777" w:rsidR="00617247" w:rsidRDefault="0061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A239" w14:textId="77777777" w:rsidR="00617247" w:rsidRDefault="00617247">
      <w:pPr>
        <w:spacing w:after="0" w:line="240" w:lineRule="auto"/>
      </w:pPr>
      <w:r>
        <w:separator/>
      </w:r>
    </w:p>
  </w:footnote>
  <w:footnote w:type="continuationSeparator" w:id="0">
    <w:p w14:paraId="30887D10" w14:textId="77777777" w:rsidR="00617247" w:rsidRDefault="00617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59"/>
      <w:tblOverlap w:val="never"/>
      <w:tblW w:w="1417" w:type="dxa"/>
      <w:tblInd w:w="0" w:type="dxa"/>
      <w:tblCellMar>
        <w:top w:w="49" w:type="dxa"/>
        <w:left w:w="115" w:type="dxa"/>
        <w:bottom w:w="0" w:type="dxa"/>
        <w:right w:w="90" w:type="dxa"/>
      </w:tblCellMar>
      <w:tblLook w:val="04A0" w:firstRow="1" w:lastRow="0" w:firstColumn="1" w:lastColumn="0" w:noHBand="0" w:noVBand="1"/>
    </w:tblPr>
    <w:tblGrid>
      <w:gridCol w:w="1417"/>
    </w:tblGrid>
    <w:tr w:rsidR="000A5B37" w14:paraId="0F3F0D5D" w14:textId="77777777">
      <w:trPr>
        <w:trHeight w:val="293"/>
      </w:trPr>
      <w:tc>
        <w:tcPr>
          <w:tcW w:w="1417" w:type="dxa"/>
          <w:tcBorders>
            <w:top w:val="nil"/>
            <w:left w:val="nil"/>
            <w:bottom w:val="nil"/>
            <w:right w:val="nil"/>
          </w:tcBorders>
          <w:shd w:val="clear" w:color="auto" w:fill="DEEBF7"/>
        </w:tcPr>
        <w:p w14:paraId="5C42F1B1" w14:textId="77777777" w:rsidR="000A5B37" w:rsidRDefault="00000000">
          <w:pPr>
            <w:spacing w:after="0" w:line="259" w:lineRule="auto"/>
            <w:ind w:left="0" w:right="55" w:firstLine="0"/>
            <w:jc w:val="right"/>
          </w:pPr>
          <w:r>
            <w:fldChar w:fldCharType="begin"/>
          </w:r>
          <w:r>
            <w:instrText xml:space="preserve"> PAGE   \* MERGEFORMAT </w:instrText>
          </w:r>
          <w:r>
            <w:fldChar w:fldCharType="separate"/>
          </w:r>
          <w:r>
            <w:rPr>
              <w:color w:val="FFFFFF"/>
              <w:sz w:val="24"/>
            </w:rPr>
            <w:t>1</w:t>
          </w:r>
          <w:r>
            <w:rPr>
              <w:color w:val="FFFFFF"/>
              <w:sz w:val="24"/>
            </w:rPr>
            <w:fldChar w:fldCharType="end"/>
          </w:r>
          <w:r>
            <w:rPr>
              <w:color w:val="FFFFFF"/>
              <w:sz w:val="24"/>
            </w:rPr>
            <w:t xml:space="preserve"> </w:t>
          </w:r>
        </w:p>
      </w:tc>
    </w:tr>
  </w:tbl>
  <w:p w14:paraId="00F05825" w14:textId="77777777" w:rsidR="000A5B37" w:rsidRDefault="00000000">
    <w:pPr>
      <w:spacing w:after="0" w:line="259" w:lineRule="auto"/>
      <w:ind w:left="144" w:right="0" w:firstLine="0"/>
      <w:jc w:val="left"/>
    </w:pPr>
    <w:r>
      <w:t xml:space="preserve">November 2025, versie 1 </w:t>
    </w:r>
  </w:p>
  <w:p w14:paraId="1F722F20" w14:textId="77777777" w:rsidR="000A5B37" w:rsidRDefault="00000000">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59"/>
      <w:tblOverlap w:val="never"/>
      <w:tblW w:w="1417" w:type="dxa"/>
      <w:tblInd w:w="0" w:type="dxa"/>
      <w:tblCellMar>
        <w:top w:w="49" w:type="dxa"/>
        <w:left w:w="115" w:type="dxa"/>
        <w:bottom w:w="0" w:type="dxa"/>
        <w:right w:w="90" w:type="dxa"/>
      </w:tblCellMar>
      <w:tblLook w:val="04A0" w:firstRow="1" w:lastRow="0" w:firstColumn="1" w:lastColumn="0" w:noHBand="0" w:noVBand="1"/>
    </w:tblPr>
    <w:tblGrid>
      <w:gridCol w:w="1417"/>
    </w:tblGrid>
    <w:tr w:rsidR="000A5B37" w14:paraId="20B98D5E" w14:textId="77777777">
      <w:trPr>
        <w:trHeight w:val="293"/>
      </w:trPr>
      <w:tc>
        <w:tcPr>
          <w:tcW w:w="1417" w:type="dxa"/>
          <w:tcBorders>
            <w:top w:val="nil"/>
            <w:left w:val="nil"/>
            <w:bottom w:val="nil"/>
            <w:right w:val="nil"/>
          </w:tcBorders>
          <w:shd w:val="clear" w:color="auto" w:fill="DEEBF7"/>
        </w:tcPr>
        <w:p w14:paraId="1CC73143" w14:textId="77777777" w:rsidR="000A5B37" w:rsidRDefault="00000000">
          <w:pPr>
            <w:spacing w:after="0" w:line="259" w:lineRule="auto"/>
            <w:ind w:left="0" w:right="55" w:firstLine="0"/>
            <w:jc w:val="right"/>
          </w:pPr>
          <w:r>
            <w:fldChar w:fldCharType="begin"/>
          </w:r>
          <w:r>
            <w:instrText xml:space="preserve"> PAGE   \* MERGEFORMAT </w:instrText>
          </w:r>
          <w:r>
            <w:fldChar w:fldCharType="separate"/>
          </w:r>
          <w:r>
            <w:rPr>
              <w:color w:val="FFFFFF"/>
              <w:sz w:val="24"/>
            </w:rPr>
            <w:t>1</w:t>
          </w:r>
          <w:r>
            <w:rPr>
              <w:color w:val="FFFFFF"/>
              <w:sz w:val="24"/>
            </w:rPr>
            <w:fldChar w:fldCharType="end"/>
          </w:r>
          <w:r>
            <w:rPr>
              <w:color w:val="FFFFFF"/>
              <w:sz w:val="24"/>
            </w:rPr>
            <w:t xml:space="preserve"> </w:t>
          </w:r>
        </w:p>
      </w:tc>
    </w:tr>
  </w:tbl>
  <w:p w14:paraId="09710134" w14:textId="77777777" w:rsidR="000A5B37" w:rsidRDefault="00000000">
    <w:pPr>
      <w:spacing w:after="0" w:line="259" w:lineRule="auto"/>
      <w:ind w:left="144" w:right="0" w:firstLine="0"/>
      <w:jc w:val="left"/>
    </w:pPr>
    <w:r>
      <w:t xml:space="preserve">November 2025, versie 1 </w:t>
    </w:r>
  </w:p>
  <w:p w14:paraId="4F47E841" w14:textId="77777777" w:rsidR="000A5B37" w:rsidRDefault="00000000">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59"/>
      <w:tblOverlap w:val="never"/>
      <w:tblW w:w="1417" w:type="dxa"/>
      <w:tblInd w:w="0" w:type="dxa"/>
      <w:tblCellMar>
        <w:top w:w="49" w:type="dxa"/>
        <w:left w:w="115" w:type="dxa"/>
        <w:bottom w:w="0" w:type="dxa"/>
        <w:right w:w="90" w:type="dxa"/>
      </w:tblCellMar>
      <w:tblLook w:val="04A0" w:firstRow="1" w:lastRow="0" w:firstColumn="1" w:lastColumn="0" w:noHBand="0" w:noVBand="1"/>
    </w:tblPr>
    <w:tblGrid>
      <w:gridCol w:w="1417"/>
    </w:tblGrid>
    <w:tr w:rsidR="000A5B37" w14:paraId="73B5D74F" w14:textId="77777777">
      <w:trPr>
        <w:trHeight w:val="293"/>
      </w:trPr>
      <w:tc>
        <w:tcPr>
          <w:tcW w:w="1417" w:type="dxa"/>
          <w:tcBorders>
            <w:top w:val="nil"/>
            <w:left w:val="nil"/>
            <w:bottom w:val="nil"/>
            <w:right w:val="nil"/>
          </w:tcBorders>
          <w:shd w:val="clear" w:color="auto" w:fill="DEEBF7"/>
        </w:tcPr>
        <w:p w14:paraId="3AA554E0" w14:textId="77777777" w:rsidR="000A5B37" w:rsidRDefault="00000000">
          <w:pPr>
            <w:spacing w:after="0" w:line="259" w:lineRule="auto"/>
            <w:ind w:left="0" w:right="55" w:firstLine="0"/>
            <w:jc w:val="right"/>
          </w:pPr>
          <w:r>
            <w:fldChar w:fldCharType="begin"/>
          </w:r>
          <w:r>
            <w:instrText xml:space="preserve"> PAGE   \* MERGEFORMAT </w:instrText>
          </w:r>
          <w:r>
            <w:fldChar w:fldCharType="separate"/>
          </w:r>
          <w:r>
            <w:rPr>
              <w:color w:val="FFFFFF"/>
              <w:sz w:val="24"/>
            </w:rPr>
            <w:t>1</w:t>
          </w:r>
          <w:r>
            <w:rPr>
              <w:color w:val="FFFFFF"/>
              <w:sz w:val="24"/>
            </w:rPr>
            <w:fldChar w:fldCharType="end"/>
          </w:r>
          <w:r>
            <w:rPr>
              <w:color w:val="FFFFFF"/>
              <w:sz w:val="24"/>
            </w:rPr>
            <w:t xml:space="preserve"> </w:t>
          </w:r>
        </w:p>
      </w:tc>
    </w:tr>
  </w:tbl>
  <w:p w14:paraId="2211EBE9" w14:textId="77777777" w:rsidR="000A5B37" w:rsidRDefault="00000000">
    <w:pPr>
      <w:spacing w:after="0" w:line="259" w:lineRule="auto"/>
      <w:ind w:left="144" w:right="0" w:firstLine="0"/>
      <w:jc w:val="left"/>
    </w:pPr>
    <w:r>
      <w:t xml:space="preserve">November 2025, versie 1 </w:t>
    </w:r>
  </w:p>
  <w:p w14:paraId="24940703" w14:textId="77777777" w:rsidR="000A5B37" w:rsidRDefault="00000000">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571"/>
    <w:multiLevelType w:val="hybridMultilevel"/>
    <w:tmpl w:val="F96080AC"/>
    <w:lvl w:ilvl="0" w:tplc="EB887F10">
      <w:start w:val="2"/>
      <w:numFmt w:val="decimal"/>
      <w:pStyle w:val="Kop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8C94C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E56345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8FCAE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A5294F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7247D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B6B10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744F51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CB01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004143"/>
    <w:multiLevelType w:val="hybridMultilevel"/>
    <w:tmpl w:val="E864DA0C"/>
    <w:lvl w:ilvl="0" w:tplc="96024106">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75095CA">
      <w:start w:val="1"/>
      <w:numFmt w:val="bullet"/>
      <w:lvlText w:val="o"/>
      <w:lvlJc w:val="left"/>
      <w:pPr>
        <w:ind w:left="5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7EE9388">
      <w:start w:val="1"/>
      <w:numFmt w:val="bullet"/>
      <w:lvlRestart w:val="0"/>
      <w:lvlText w:val="-"/>
      <w:lvlJc w:val="left"/>
      <w:pPr>
        <w:ind w:left="7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3FBA11E2">
      <w:start w:val="1"/>
      <w:numFmt w:val="bullet"/>
      <w:lvlText w:val="•"/>
      <w:lvlJc w:val="left"/>
      <w:pPr>
        <w:ind w:left="14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8910C748">
      <w:start w:val="1"/>
      <w:numFmt w:val="bullet"/>
      <w:lvlText w:val="o"/>
      <w:lvlJc w:val="left"/>
      <w:pPr>
        <w:ind w:left="21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CDA20B0">
      <w:start w:val="1"/>
      <w:numFmt w:val="bullet"/>
      <w:lvlText w:val="▪"/>
      <w:lvlJc w:val="left"/>
      <w:pPr>
        <w:ind w:left="28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CA4FEE2">
      <w:start w:val="1"/>
      <w:numFmt w:val="bullet"/>
      <w:lvlText w:val="•"/>
      <w:lvlJc w:val="left"/>
      <w:pPr>
        <w:ind w:left="36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6308938">
      <w:start w:val="1"/>
      <w:numFmt w:val="bullet"/>
      <w:lvlText w:val="o"/>
      <w:lvlJc w:val="left"/>
      <w:pPr>
        <w:ind w:left="43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518C78E">
      <w:start w:val="1"/>
      <w:numFmt w:val="bullet"/>
      <w:lvlText w:val="▪"/>
      <w:lvlJc w:val="left"/>
      <w:pPr>
        <w:ind w:left="50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7372C3"/>
    <w:multiLevelType w:val="multilevel"/>
    <w:tmpl w:val="FCEE0238"/>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B52CEE"/>
    <w:multiLevelType w:val="hybridMultilevel"/>
    <w:tmpl w:val="C54ED354"/>
    <w:lvl w:ilvl="0" w:tplc="D95E8D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DE49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0086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C8A7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B411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58A3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44EA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148A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0C53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AF484A"/>
    <w:multiLevelType w:val="hybridMultilevel"/>
    <w:tmpl w:val="F1584C92"/>
    <w:lvl w:ilvl="0" w:tplc="CF50EAA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82F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6859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FC2E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DCF40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D229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BA62D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E4046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1280A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105121"/>
    <w:multiLevelType w:val="hybridMultilevel"/>
    <w:tmpl w:val="42260E60"/>
    <w:lvl w:ilvl="0" w:tplc="DE40CE2E">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A25C28">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87CA0B6">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5223AF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0A6C77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3A2D9B0">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CEE85AA">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C3C6290">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DACBBC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683E6934"/>
    <w:multiLevelType w:val="hybridMultilevel"/>
    <w:tmpl w:val="6492CCE2"/>
    <w:lvl w:ilvl="0" w:tplc="A8322E46">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686C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209B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C8B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2CB2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3AE4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8E0E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0CE9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4EA8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12272D"/>
    <w:multiLevelType w:val="hybridMultilevel"/>
    <w:tmpl w:val="49745E74"/>
    <w:lvl w:ilvl="0" w:tplc="0F7446EE">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8AA7C8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56B55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461C8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81027E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A707DC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2EA00F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F1831B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1CE04D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820661474">
    <w:abstractNumId w:val="5"/>
  </w:num>
  <w:num w:numId="2" w16cid:durableId="1260678427">
    <w:abstractNumId w:val="4"/>
  </w:num>
  <w:num w:numId="3" w16cid:durableId="1254508230">
    <w:abstractNumId w:val="7"/>
  </w:num>
  <w:num w:numId="4" w16cid:durableId="1639190994">
    <w:abstractNumId w:val="1"/>
  </w:num>
  <w:num w:numId="5" w16cid:durableId="778722283">
    <w:abstractNumId w:val="2"/>
  </w:num>
  <w:num w:numId="6" w16cid:durableId="1875263478">
    <w:abstractNumId w:val="3"/>
  </w:num>
  <w:num w:numId="7" w16cid:durableId="318005057">
    <w:abstractNumId w:val="6"/>
  </w:num>
  <w:num w:numId="8" w16cid:durableId="50772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B37"/>
    <w:rsid w:val="000A5B37"/>
    <w:rsid w:val="00617247"/>
    <w:rsid w:val="00921506"/>
    <w:rsid w:val="00A30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4C7AB8"/>
  <w15:docId w15:val="{55658D5D-1F33-2340-8BBE-5F4E299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right="2" w:hanging="10"/>
      <w:jc w:val="both"/>
    </w:pPr>
    <w:rPr>
      <w:rFonts w:ascii="Calibri" w:eastAsia="Calibri" w:hAnsi="Calibri" w:cs="Times New Roman"/>
      <w:color w:val="000000"/>
      <w:sz w:val="22"/>
      <w:lang w:val="nl" w:eastAsia="nl"/>
    </w:rPr>
  </w:style>
  <w:style w:type="paragraph" w:styleId="Kop1">
    <w:name w:val="heading 1"/>
    <w:next w:val="Standaard"/>
    <w:link w:val="Kop1Char"/>
    <w:uiPriority w:val="9"/>
    <w:qFormat/>
    <w:pPr>
      <w:keepNext/>
      <w:keepLines/>
      <w:numPr>
        <w:numId w:val="8"/>
      </w:numPr>
      <w:spacing w:after="0" w:line="259" w:lineRule="auto"/>
      <w:ind w:left="10" w:hanging="10"/>
      <w:outlineLvl w:val="0"/>
    </w:pPr>
    <w:rPr>
      <w:rFonts w:ascii="Calibri" w:eastAsia="Calibri" w:hAnsi="Calibri" w:cs="Calibri"/>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sid.org/Working-Parties/Registry-Working-Party/Diagnosis-criteria" TargetMode="External"/><Relationship Id="rId18" Type="http://schemas.openxmlformats.org/officeDocument/2006/relationships/hyperlink" Target="https://esid.org/Working-Parties/Registry-Working-Party/Diagnosis-criteria" TargetMode="External"/><Relationship Id="rId26" Type="http://schemas.openxmlformats.org/officeDocument/2006/relationships/hyperlink" Target="https://lci.rivm.nl/overig/hematologische-aandoeningen" TargetMode="External"/><Relationship Id="rId3" Type="http://schemas.openxmlformats.org/officeDocument/2006/relationships/settings" Target="settings.xml"/><Relationship Id="rId21" Type="http://schemas.openxmlformats.org/officeDocument/2006/relationships/hyperlink" Target="https://lci.rivm.nl/overig/chronisch-inflammatoire-aandoeningen" TargetMode="External"/><Relationship Id="rId34" Type="http://schemas.openxmlformats.org/officeDocument/2006/relationships/theme" Target="theme/theme1.xml"/><Relationship Id="rId7" Type="http://schemas.openxmlformats.org/officeDocument/2006/relationships/hyperlink" Target="https://cytometrie.nl/werkgroup/HandreikingSelectie%20van%20fluorochromen%20voor%20IFT.pdf" TargetMode="External"/><Relationship Id="rId12" Type="http://schemas.openxmlformats.org/officeDocument/2006/relationships/hyperlink" Target="https://esid.org/Working-Parties/Registry-Working-Party/Diagnosis-criteria" TargetMode="External"/><Relationship Id="rId17" Type="http://schemas.openxmlformats.org/officeDocument/2006/relationships/hyperlink" Target="https://esid.org/Working-Parties/Registry-Working-Party/Diagnosis-criteria" TargetMode="External"/><Relationship Id="rId25" Type="http://schemas.openxmlformats.org/officeDocument/2006/relationships/hyperlink" Target="https://lci.rivm.nl/overig/chronisch-inflammatoire-aandoening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id.org/Working-Parties/Registry-Working-Party/Diagnosis-criteria" TargetMode="External"/><Relationship Id="rId20" Type="http://schemas.openxmlformats.org/officeDocument/2006/relationships/hyperlink" Target="https://lci.rivm.nl/overig/chronisch-inflammatoire-aandoeningen" TargetMode="External"/><Relationship Id="rId29" Type="http://schemas.openxmlformats.org/officeDocument/2006/relationships/hyperlink" Target="https://lci.rivm.nl/overig/hematologische-aandoeni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d.org/Working-Parties/Registry-Working-Party/Diagnosis-criteria" TargetMode="External"/><Relationship Id="rId24" Type="http://schemas.openxmlformats.org/officeDocument/2006/relationships/hyperlink" Target="https://lci.rivm.nl/overig/chronisch-inflammatoire-aandoeningen"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d.org/Working-Parties/Registry-Working-Party/Diagnosis-criteria" TargetMode="External"/><Relationship Id="rId23" Type="http://schemas.openxmlformats.org/officeDocument/2006/relationships/hyperlink" Target="https://lci.rivm.nl/overig/chronisch-inflammatoire-aandoeningen" TargetMode="External"/><Relationship Id="rId28" Type="http://schemas.openxmlformats.org/officeDocument/2006/relationships/hyperlink" Target="https://lci.rivm.nl/overig/hematologische-aandoeningen" TargetMode="External"/><Relationship Id="rId10" Type="http://schemas.openxmlformats.org/officeDocument/2006/relationships/hyperlink" Target="https://esid.org/Working-Parties/Registry-Working-Party/Diagnosis-criteria" TargetMode="External"/><Relationship Id="rId19" Type="http://schemas.openxmlformats.org/officeDocument/2006/relationships/hyperlink" Target="https://esid.org/Working-Parties/Registry-Working-Party/Diagnosis-criteria"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sid.org/Working-Parties/Registry-Working-Party/Diagnosis-criteria" TargetMode="External"/><Relationship Id="rId14" Type="http://schemas.openxmlformats.org/officeDocument/2006/relationships/hyperlink" Target="https://esid.org/Working-Parties/Registry-Working-Party/Diagnosis-criteria" TargetMode="External"/><Relationship Id="rId22" Type="http://schemas.openxmlformats.org/officeDocument/2006/relationships/hyperlink" Target="https://lci.rivm.nl/overig/chronisch-inflammatoire-aandoeningen" TargetMode="External"/><Relationship Id="rId27" Type="http://schemas.openxmlformats.org/officeDocument/2006/relationships/hyperlink" Target="https://lci.rivm.nl/overig/hematologische-aandoeningen" TargetMode="External"/><Relationship Id="rId30" Type="http://schemas.openxmlformats.org/officeDocument/2006/relationships/header" Target="header1.xml"/><Relationship Id="rId8" Type="http://schemas.openxmlformats.org/officeDocument/2006/relationships/hyperlink" Target="https://cytometrie.nl/werkgroup/HandreikingSelectie%20van%20fluorochromen%20voor%20IF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6052</Words>
  <Characters>33287</Characters>
  <Application>Microsoft Office Word</Application>
  <DocSecurity>0</DocSecurity>
  <Lines>277</Lines>
  <Paragraphs>78</Paragraphs>
  <ScaleCrop>false</ScaleCrop>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versie 1</dc:title>
  <dc:subject/>
  <dc:creator>S. Veenbergen</dc:creator>
  <cp:keywords/>
  <cp:lastModifiedBy>Erik Mul</cp:lastModifiedBy>
  <cp:revision>2</cp:revision>
  <dcterms:created xsi:type="dcterms:W3CDTF">2026-02-13T21:14:00Z</dcterms:created>
  <dcterms:modified xsi:type="dcterms:W3CDTF">2026-02-13T21:14:00Z</dcterms:modified>
</cp:coreProperties>
</file>